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7B" w:rsidRDefault="004F0D7B" w:rsidP="004F0D7B">
      <w:pPr>
        <w:spacing w:before="240" w:line="240" w:lineRule="auto"/>
        <w:jc w:val="both"/>
        <w:rPr>
          <w:rFonts w:ascii="Times New Roman" w:hAnsi="Times New Roman" w:cs="Times New Roman"/>
          <w:bCs/>
          <w:sz w:val="44"/>
          <w:szCs w:val="36"/>
        </w:rPr>
      </w:pPr>
      <w:r w:rsidRPr="004F0D7B">
        <w:rPr>
          <w:rFonts w:ascii="Times New Roman" w:hAnsi="Times New Roman" w:cs="Times New Roman"/>
          <w:bCs/>
          <w:sz w:val="44"/>
          <w:szCs w:val="36"/>
        </w:rPr>
        <w:t>RESEARCH PAPER</w:t>
      </w:r>
    </w:p>
    <w:p w:rsidR="00AA30FD" w:rsidRPr="004F0D7B" w:rsidRDefault="00AA30FD" w:rsidP="004F0D7B">
      <w:pPr>
        <w:spacing w:before="240" w:line="240" w:lineRule="auto"/>
        <w:jc w:val="both"/>
        <w:rPr>
          <w:rFonts w:ascii="Times New Roman" w:hAnsi="Times New Roman" w:cs="Times New Roman"/>
          <w:bCs/>
          <w:sz w:val="44"/>
          <w:szCs w:val="36"/>
        </w:rPr>
      </w:pPr>
      <w:r w:rsidRPr="004F0D7B">
        <w:rPr>
          <w:rFonts w:ascii="Times New Roman" w:hAnsi="Times New Roman" w:cs="Times New Roman"/>
          <w:b/>
          <w:sz w:val="44"/>
          <w:szCs w:val="36"/>
        </w:rPr>
        <w:t>Retrospective</w:t>
      </w:r>
      <w:r w:rsidR="004F0D7B" w:rsidRPr="004F0D7B">
        <w:rPr>
          <w:rFonts w:ascii="Times New Roman" w:hAnsi="Times New Roman" w:cs="Times New Roman"/>
          <w:b/>
          <w:sz w:val="44"/>
          <w:szCs w:val="36"/>
        </w:rPr>
        <w:t xml:space="preserve"> evaluation of diatom evidence in the forensic diagnosis of drowning</w:t>
      </w:r>
    </w:p>
    <w:p w:rsidR="000E7A16" w:rsidRPr="004F0D7B" w:rsidRDefault="004A60A3" w:rsidP="004F0D7B">
      <w:pPr>
        <w:spacing w:line="240" w:lineRule="auto"/>
        <w:jc w:val="both"/>
        <w:rPr>
          <w:rFonts w:ascii="Times New Roman" w:hAnsi="Times New Roman" w:cs="Times New Roman"/>
          <w:i/>
          <w:iCs/>
          <w:sz w:val="24"/>
          <w:szCs w:val="36"/>
          <w:lang w:val="pt-BR"/>
        </w:rPr>
      </w:pPr>
      <w:r w:rsidRPr="004F0D7B">
        <w:rPr>
          <w:rFonts w:ascii="Times New Roman" w:hAnsi="Times New Roman" w:cs="Times New Roman"/>
          <w:i/>
          <w:iCs/>
          <w:sz w:val="24"/>
          <w:szCs w:val="36"/>
          <w:lang w:val="pt-BR"/>
        </w:rPr>
        <w:t>Saini D</w:t>
      </w:r>
      <w:r>
        <w:rPr>
          <w:rFonts w:ascii="Times New Roman" w:hAnsi="Times New Roman" w:cs="Times New Roman"/>
          <w:i/>
          <w:iCs/>
          <w:sz w:val="24"/>
          <w:szCs w:val="36"/>
          <w:vertAlign w:val="superscript"/>
          <w:lang w:val="pt-BR"/>
        </w:rPr>
        <w:t>1</w:t>
      </w:r>
      <w:r w:rsidR="00095FB4" w:rsidRPr="004F0D7B">
        <w:rPr>
          <w:rFonts w:ascii="Times New Roman" w:hAnsi="Times New Roman" w:cs="Times New Roman"/>
          <w:i/>
          <w:iCs/>
          <w:sz w:val="24"/>
          <w:szCs w:val="36"/>
          <w:lang w:val="pt-BR"/>
        </w:rPr>
        <w:t xml:space="preserve">, </w:t>
      </w:r>
      <w:r w:rsidR="00085DF4" w:rsidRPr="004F0D7B">
        <w:rPr>
          <w:rFonts w:ascii="Times New Roman" w:hAnsi="Times New Roman" w:cs="Times New Roman"/>
          <w:i/>
          <w:iCs/>
          <w:sz w:val="24"/>
          <w:szCs w:val="36"/>
          <w:lang w:val="pt-BR"/>
        </w:rPr>
        <w:t>Gupta</w:t>
      </w:r>
      <w:r w:rsidR="004F0D7B" w:rsidRPr="004F0D7B">
        <w:rPr>
          <w:rFonts w:ascii="Times New Roman" w:hAnsi="Times New Roman" w:cs="Times New Roman"/>
          <w:i/>
          <w:iCs/>
          <w:sz w:val="24"/>
          <w:szCs w:val="36"/>
          <w:lang w:val="pt-BR"/>
        </w:rPr>
        <w:t xml:space="preserve"> T</w:t>
      </w:r>
      <w:r>
        <w:rPr>
          <w:rFonts w:ascii="Times New Roman" w:hAnsi="Times New Roman" w:cs="Times New Roman"/>
          <w:i/>
          <w:iCs/>
          <w:sz w:val="24"/>
          <w:szCs w:val="36"/>
          <w:vertAlign w:val="superscript"/>
          <w:lang w:val="pt-BR"/>
        </w:rPr>
        <w:t>2</w:t>
      </w:r>
      <w:r w:rsidR="00085DF4" w:rsidRPr="004F0D7B">
        <w:rPr>
          <w:rFonts w:ascii="Times New Roman" w:hAnsi="Times New Roman" w:cs="Times New Roman"/>
          <w:i/>
          <w:iCs/>
          <w:sz w:val="24"/>
          <w:szCs w:val="36"/>
          <w:lang w:val="pt-BR"/>
        </w:rPr>
        <w:t xml:space="preserve">, </w:t>
      </w:r>
      <w:r w:rsidR="001F01EC" w:rsidRPr="004F0D7B">
        <w:rPr>
          <w:rFonts w:ascii="Times New Roman" w:hAnsi="Times New Roman" w:cs="Times New Roman"/>
          <w:i/>
          <w:iCs/>
          <w:sz w:val="24"/>
          <w:szCs w:val="36"/>
          <w:lang w:val="pt-BR"/>
        </w:rPr>
        <w:t>Kumar</w:t>
      </w:r>
      <w:r w:rsidR="004F0D7B" w:rsidRPr="004F0D7B">
        <w:rPr>
          <w:rFonts w:ascii="Times New Roman" w:hAnsi="Times New Roman" w:cs="Times New Roman"/>
          <w:i/>
          <w:iCs/>
          <w:sz w:val="24"/>
          <w:szCs w:val="36"/>
          <w:lang w:val="pt-BR"/>
        </w:rPr>
        <w:t xml:space="preserve"> R</w:t>
      </w:r>
      <w:r>
        <w:rPr>
          <w:rFonts w:ascii="Times New Roman" w:hAnsi="Times New Roman" w:cs="Times New Roman"/>
          <w:i/>
          <w:iCs/>
          <w:sz w:val="24"/>
          <w:szCs w:val="36"/>
          <w:vertAlign w:val="superscript"/>
          <w:lang w:val="pt-BR"/>
        </w:rPr>
        <w:t>3</w:t>
      </w:r>
      <w:r>
        <w:rPr>
          <w:rFonts w:ascii="Times New Roman" w:hAnsi="Times New Roman" w:cs="Times New Roman"/>
          <w:i/>
          <w:iCs/>
          <w:sz w:val="24"/>
          <w:szCs w:val="36"/>
          <w:lang w:val="pt-BR"/>
        </w:rPr>
        <w:t xml:space="preserve">, </w:t>
      </w:r>
      <w:r w:rsidRPr="004F0D7B">
        <w:rPr>
          <w:rFonts w:ascii="Times New Roman" w:hAnsi="Times New Roman" w:cs="Times New Roman"/>
          <w:i/>
          <w:iCs/>
          <w:sz w:val="24"/>
          <w:szCs w:val="36"/>
          <w:lang w:val="pt-BR"/>
        </w:rPr>
        <w:t>Yadav SD</w:t>
      </w:r>
      <w:r>
        <w:rPr>
          <w:rFonts w:ascii="Times New Roman" w:hAnsi="Times New Roman" w:cs="Times New Roman"/>
          <w:i/>
          <w:iCs/>
          <w:sz w:val="24"/>
          <w:szCs w:val="36"/>
          <w:vertAlign w:val="superscript"/>
          <w:lang w:val="pt-BR"/>
        </w:rPr>
        <w:t>4</w:t>
      </w:r>
    </w:p>
    <w:tbl>
      <w:tblPr>
        <w:tblStyle w:val="TableGrid"/>
        <w:tblW w:w="0" w:type="auto"/>
        <w:tblLook w:val="04A0"/>
      </w:tblPr>
      <w:tblGrid>
        <w:gridCol w:w="3522"/>
        <w:gridCol w:w="5720"/>
      </w:tblGrid>
      <w:tr w:rsidR="005F5DF5" w:rsidRPr="007574A6" w:rsidTr="00E24F6C">
        <w:trPr>
          <w:trHeight w:val="5811"/>
        </w:trPr>
        <w:tc>
          <w:tcPr>
            <w:tcW w:w="0" w:type="auto"/>
          </w:tcPr>
          <w:p w:rsidR="00F268F2" w:rsidRDefault="00F268F2" w:rsidP="004F0D7B">
            <w:pPr>
              <w:rPr>
                <w:rFonts w:ascii="Times New Roman" w:hAnsi="Times New Roman" w:cs="Times New Roman"/>
                <w:b/>
                <w:bCs/>
                <w:i/>
                <w:iCs/>
                <w:sz w:val="20"/>
                <w:szCs w:val="20"/>
                <w:lang w:val="en-US"/>
              </w:rPr>
            </w:pPr>
            <w:r w:rsidRPr="00F268F2">
              <w:rPr>
                <w:rFonts w:ascii="Times New Roman" w:hAnsi="Times New Roman" w:cs="Times New Roman"/>
                <w:b/>
                <w:bCs/>
                <w:i/>
                <w:iCs/>
                <w:sz w:val="20"/>
                <w:szCs w:val="20"/>
                <w:lang w:val="en-US"/>
              </w:rPr>
              <w:t>Address for</w:t>
            </w:r>
            <w:r>
              <w:rPr>
                <w:rFonts w:ascii="Times New Roman" w:hAnsi="Times New Roman" w:cs="Times New Roman"/>
                <w:b/>
                <w:bCs/>
                <w:i/>
                <w:iCs/>
                <w:sz w:val="20"/>
                <w:szCs w:val="20"/>
                <w:lang w:val="en-US"/>
              </w:rPr>
              <w:t xml:space="preserve"> c</w:t>
            </w:r>
            <w:r w:rsidRPr="00F268F2">
              <w:rPr>
                <w:rFonts w:ascii="Times New Roman" w:hAnsi="Times New Roman" w:cs="Times New Roman"/>
                <w:b/>
                <w:bCs/>
                <w:i/>
                <w:iCs/>
                <w:sz w:val="20"/>
                <w:szCs w:val="20"/>
                <w:lang w:val="en-US"/>
              </w:rPr>
              <w:t>orrespondence</w:t>
            </w:r>
          </w:p>
          <w:p w:rsidR="00F268F2" w:rsidRPr="004F0D7B" w:rsidRDefault="00F268F2" w:rsidP="004F0D7B">
            <w:pPr>
              <w:rPr>
                <w:rFonts w:ascii="Times New Roman" w:hAnsi="Times New Roman" w:cs="Times New Roman"/>
                <w:i/>
                <w:iCs/>
                <w:sz w:val="20"/>
                <w:szCs w:val="20"/>
                <w:lang w:val="en-US"/>
              </w:rPr>
            </w:pPr>
          </w:p>
          <w:p w:rsidR="00A60293" w:rsidRPr="004F0D7B" w:rsidRDefault="004A60A3" w:rsidP="004F0D7B">
            <w:pP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1</w:t>
            </w:r>
            <w:r w:rsidR="00D10506">
              <w:rPr>
                <w:rFonts w:ascii="Times New Roman" w:hAnsi="Times New Roman" w:cs="Times New Roman"/>
                <w:i/>
                <w:iCs/>
                <w:sz w:val="20"/>
                <w:szCs w:val="20"/>
                <w:lang w:val="en-US"/>
              </w:rPr>
              <w:t>Forensic Professional</w:t>
            </w:r>
          </w:p>
          <w:p w:rsidR="00A60293" w:rsidRPr="004F0D7B" w:rsidRDefault="00A60293" w:rsidP="004F0D7B">
            <w:pPr>
              <w:rPr>
                <w:rFonts w:ascii="Times New Roman" w:hAnsi="Times New Roman" w:cs="Times New Roman"/>
                <w:i/>
                <w:iCs/>
                <w:sz w:val="20"/>
                <w:szCs w:val="20"/>
                <w:lang w:val="en-US"/>
              </w:rPr>
            </w:pPr>
            <w:r w:rsidRPr="004F0D7B">
              <w:rPr>
                <w:rFonts w:ascii="Times New Roman" w:hAnsi="Times New Roman" w:cs="Times New Roman"/>
                <w:i/>
                <w:iCs/>
                <w:sz w:val="20"/>
                <w:szCs w:val="20"/>
                <w:lang w:val="en-US"/>
              </w:rPr>
              <w:t xml:space="preserve">Email: nikkedu02@gmail.com </w:t>
            </w:r>
          </w:p>
          <w:p w:rsidR="00A60293" w:rsidRPr="004F0D7B" w:rsidRDefault="00A60293" w:rsidP="004F0D7B">
            <w:pPr>
              <w:rPr>
                <w:rFonts w:ascii="Times New Roman" w:hAnsi="Times New Roman" w:cs="Times New Roman"/>
                <w:i/>
                <w:iCs/>
                <w:sz w:val="20"/>
                <w:szCs w:val="20"/>
                <w:lang w:val="en-US"/>
              </w:rPr>
            </w:pPr>
          </w:p>
          <w:p w:rsidR="005D74E3" w:rsidRPr="004F0D7B" w:rsidRDefault="004A60A3" w:rsidP="004F0D7B">
            <w:pP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2</w:t>
            </w:r>
            <w:r w:rsidR="005D74E3" w:rsidRPr="004F0D7B">
              <w:rPr>
                <w:rFonts w:ascii="Times New Roman" w:hAnsi="Times New Roman" w:cs="Times New Roman"/>
                <w:i/>
                <w:iCs/>
                <w:sz w:val="20"/>
                <w:szCs w:val="20"/>
                <w:lang w:val="en-US"/>
              </w:rPr>
              <w:t>Forensic Professional</w:t>
            </w:r>
          </w:p>
          <w:p w:rsidR="005D74E3" w:rsidRPr="004F0D7B" w:rsidRDefault="00D10506" w:rsidP="004F0D7B">
            <w:pPr>
              <w:rPr>
                <w:rFonts w:ascii="Times New Roman" w:hAnsi="Times New Roman" w:cs="Times New Roman"/>
                <w:i/>
                <w:iCs/>
                <w:sz w:val="20"/>
                <w:szCs w:val="20"/>
                <w:lang w:val="en-US"/>
              </w:rPr>
            </w:pPr>
            <w:r>
              <w:rPr>
                <w:rFonts w:ascii="Times New Roman" w:hAnsi="Times New Roman" w:cs="Times New Roman"/>
                <w:i/>
                <w:iCs/>
                <w:sz w:val="20"/>
                <w:szCs w:val="20"/>
                <w:lang w:val="en-US"/>
              </w:rPr>
              <w:t>Email:tanya2209gupta@gmail.com</w:t>
            </w:r>
          </w:p>
          <w:p w:rsidR="005D74E3" w:rsidRPr="004F0D7B" w:rsidRDefault="005D74E3" w:rsidP="004F0D7B">
            <w:pPr>
              <w:rPr>
                <w:rFonts w:ascii="Times New Roman" w:hAnsi="Times New Roman" w:cs="Times New Roman"/>
                <w:i/>
                <w:iCs/>
                <w:sz w:val="20"/>
                <w:szCs w:val="20"/>
                <w:lang w:val="en-US"/>
              </w:rPr>
            </w:pPr>
          </w:p>
          <w:p w:rsidR="00F268F2" w:rsidRPr="004F0D7B" w:rsidRDefault="004A60A3" w:rsidP="004F0D7B">
            <w:pP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3</w:t>
            </w:r>
            <w:r w:rsidR="00F268F2" w:rsidRPr="004F0D7B">
              <w:rPr>
                <w:rFonts w:ascii="Times New Roman" w:hAnsi="Times New Roman" w:cs="Times New Roman"/>
                <w:i/>
                <w:iCs/>
                <w:sz w:val="20"/>
                <w:szCs w:val="20"/>
                <w:lang w:val="en-US"/>
              </w:rPr>
              <w:t>Forensic Professional</w:t>
            </w:r>
          </w:p>
          <w:p w:rsidR="00F268F2" w:rsidRDefault="005D74E3" w:rsidP="004F0D7B">
            <w:pPr>
              <w:rPr>
                <w:rFonts w:ascii="Times New Roman" w:hAnsi="Times New Roman" w:cs="Times New Roman"/>
                <w:i/>
                <w:iCs/>
                <w:sz w:val="20"/>
                <w:szCs w:val="20"/>
                <w:lang w:val="en-US"/>
              </w:rPr>
            </w:pPr>
            <w:r w:rsidRPr="004F0D7B">
              <w:rPr>
                <w:rFonts w:ascii="Times New Roman" w:hAnsi="Times New Roman" w:cs="Times New Roman"/>
                <w:i/>
                <w:iCs/>
                <w:sz w:val="20"/>
                <w:szCs w:val="20"/>
                <w:lang w:val="en-US"/>
              </w:rPr>
              <w:t xml:space="preserve">Email: </w:t>
            </w:r>
            <w:r w:rsidR="00AA30FD" w:rsidRPr="004F0D7B">
              <w:rPr>
                <w:rFonts w:ascii="Times New Roman" w:hAnsi="Times New Roman" w:cs="Times New Roman"/>
                <w:i/>
                <w:iCs/>
                <w:sz w:val="20"/>
                <w:szCs w:val="20"/>
                <w:lang w:val="en-US"/>
              </w:rPr>
              <w:t>forensic110086</w:t>
            </w:r>
            <w:r w:rsidR="00F268F2" w:rsidRPr="004F0D7B">
              <w:rPr>
                <w:rFonts w:ascii="Times New Roman" w:hAnsi="Times New Roman" w:cs="Times New Roman"/>
                <w:i/>
                <w:iCs/>
                <w:sz w:val="20"/>
                <w:szCs w:val="20"/>
                <w:lang w:val="en-US"/>
              </w:rPr>
              <w:t>@gmail.com</w:t>
            </w:r>
          </w:p>
          <w:p w:rsidR="004A60A3" w:rsidRPr="004F0D7B" w:rsidRDefault="004A60A3" w:rsidP="004F0D7B">
            <w:pPr>
              <w:rPr>
                <w:rFonts w:ascii="Times New Roman" w:hAnsi="Times New Roman" w:cs="Times New Roman"/>
                <w:i/>
                <w:iCs/>
                <w:sz w:val="20"/>
                <w:szCs w:val="20"/>
                <w:lang w:val="en-US"/>
              </w:rPr>
            </w:pPr>
          </w:p>
          <w:p w:rsidR="004A60A3" w:rsidRPr="004F0D7B" w:rsidRDefault="004A60A3" w:rsidP="004A60A3">
            <w:pP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4</w:t>
            </w:r>
            <w:r w:rsidRPr="004F0D7B">
              <w:rPr>
                <w:rFonts w:ascii="Times New Roman" w:hAnsi="Times New Roman" w:cs="Times New Roman"/>
                <w:i/>
                <w:iCs/>
                <w:sz w:val="20"/>
                <w:szCs w:val="20"/>
                <w:lang w:val="en-US"/>
              </w:rPr>
              <w:t>Senior Scientific Officer/Sc-B</w:t>
            </w:r>
          </w:p>
          <w:p w:rsidR="004A60A3" w:rsidRPr="004F0D7B" w:rsidRDefault="004A60A3" w:rsidP="004A60A3">
            <w:pPr>
              <w:rPr>
                <w:rFonts w:ascii="Times New Roman" w:hAnsi="Times New Roman" w:cs="Times New Roman"/>
                <w:i/>
                <w:iCs/>
                <w:sz w:val="20"/>
                <w:szCs w:val="20"/>
                <w:lang w:val="en-US"/>
              </w:rPr>
            </w:pPr>
            <w:r w:rsidRPr="004F0D7B">
              <w:rPr>
                <w:rFonts w:ascii="Times New Roman" w:hAnsi="Times New Roman" w:cs="Times New Roman"/>
                <w:i/>
                <w:iCs/>
                <w:sz w:val="20"/>
                <w:szCs w:val="20"/>
                <w:lang w:val="en-US"/>
              </w:rPr>
              <w:t>Email: dsyadav12@gmail.com</w:t>
            </w:r>
          </w:p>
          <w:p w:rsidR="005F5DF5" w:rsidRPr="004F0D7B" w:rsidRDefault="005F5DF5" w:rsidP="004F0D7B">
            <w:pPr>
              <w:rPr>
                <w:rFonts w:ascii="Times New Roman" w:hAnsi="Times New Roman" w:cs="Times New Roman"/>
                <w:i/>
                <w:iCs/>
                <w:sz w:val="20"/>
                <w:szCs w:val="20"/>
                <w:lang w:val="en-US"/>
              </w:rPr>
            </w:pPr>
          </w:p>
          <w:p w:rsidR="00F268F2" w:rsidRPr="004F0D7B" w:rsidRDefault="005F5DF5" w:rsidP="004F0D7B">
            <w:pPr>
              <w:rPr>
                <w:rFonts w:ascii="Times New Roman" w:hAnsi="Times New Roman" w:cs="Times New Roman"/>
                <w:i/>
                <w:iCs/>
                <w:sz w:val="20"/>
                <w:szCs w:val="20"/>
                <w:lang w:val="en-US"/>
              </w:rPr>
            </w:pPr>
            <w:r w:rsidRPr="004F0D7B">
              <w:rPr>
                <w:rFonts w:ascii="Times New Roman" w:hAnsi="Times New Roman" w:cs="Times New Roman"/>
                <w:i/>
                <w:iCs/>
                <w:sz w:val="20"/>
                <w:szCs w:val="20"/>
                <w:lang w:val="en-US"/>
              </w:rPr>
              <w:t xml:space="preserve">Biology </w:t>
            </w:r>
            <w:r w:rsidR="00D10506">
              <w:rPr>
                <w:rFonts w:ascii="Times New Roman" w:hAnsi="Times New Roman" w:cs="Times New Roman"/>
                <w:i/>
                <w:iCs/>
                <w:sz w:val="20"/>
                <w:szCs w:val="20"/>
                <w:lang w:val="en-US"/>
              </w:rPr>
              <w:t>and</w:t>
            </w:r>
            <w:r w:rsidR="008620F2">
              <w:rPr>
                <w:rFonts w:ascii="Times New Roman" w:hAnsi="Times New Roman" w:cs="Times New Roman"/>
                <w:i/>
                <w:iCs/>
                <w:sz w:val="20"/>
                <w:szCs w:val="20"/>
                <w:lang w:val="en-US"/>
              </w:rPr>
              <w:t xml:space="preserve"> </w:t>
            </w:r>
            <w:r w:rsidR="00F268F2" w:rsidRPr="004F0D7B">
              <w:rPr>
                <w:rFonts w:ascii="Times New Roman" w:hAnsi="Times New Roman" w:cs="Times New Roman"/>
                <w:i/>
                <w:iCs/>
                <w:sz w:val="20"/>
                <w:szCs w:val="20"/>
                <w:lang w:val="en-US"/>
              </w:rPr>
              <w:t xml:space="preserve">DNA </w:t>
            </w:r>
            <w:r w:rsidR="00AA30FD" w:rsidRPr="004F0D7B">
              <w:rPr>
                <w:rFonts w:ascii="Times New Roman" w:hAnsi="Times New Roman" w:cs="Times New Roman"/>
                <w:i/>
                <w:iCs/>
                <w:sz w:val="20"/>
                <w:szCs w:val="20"/>
                <w:lang w:val="en-US"/>
              </w:rPr>
              <w:t xml:space="preserve">Profiling </w:t>
            </w:r>
            <w:r w:rsidR="00F268F2" w:rsidRPr="004F0D7B">
              <w:rPr>
                <w:rFonts w:ascii="Times New Roman" w:hAnsi="Times New Roman" w:cs="Times New Roman"/>
                <w:i/>
                <w:iCs/>
                <w:sz w:val="20"/>
                <w:szCs w:val="20"/>
                <w:lang w:val="en-US"/>
              </w:rPr>
              <w:t>Division</w:t>
            </w:r>
            <w:r w:rsidRPr="004F0D7B">
              <w:rPr>
                <w:rFonts w:ascii="Times New Roman" w:hAnsi="Times New Roman" w:cs="Times New Roman"/>
                <w:i/>
                <w:iCs/>
                <w:sz w:val="20"/>
                <w:szCs w:val="20"/>
                <w:lang w:val="en-US"/>
              </w:rPr>
              <w:t>,</w:t>
            </w:r>
            <w:r w:rsidR="00F268F2" w:rsidRPr="004F0D7B">
              <w:rPr>
                <w:rFonts w:ascii="Times New Roman" w:hAnsi="Times New Roman" w:cs="Times New Roman"/>
                <w:i/>
                <w:iCs/>
                <w:sz w:val="20"/>
                <w:szCs w:val="20"/>
                <w:lang w:val="en-US"/>
              </w:rPr>
              <w:t>Central Forensic Science Laboratory (CFSL),</w:t>
            </w:r>
          </w:p>
          <w:p w:rsidR="00F268F2" w:rsidRPr="004F0D7B" w:rsidRDefault="00F268F2" w:rsidP="004F0D7B">
            <w:pPr>
              <w:rPr>
                <w:rFonts w:ascii="Times New Roman" w:hAnsi="Times New Roman" w:cs="Times New Roman"/>
                <w:i/>
                <w:iCs/>
                <w:sz w:val="20"/>
                <w:szCs w:val="20"/>
                <w:lang w:val="en-US"/>
              </w:rPr>
            </w:pPr>
            <w:r w:rsidRPr="004F0D7B">
              <w:rPr>
                <w:rFonts w:ascii="Times New Roman" w:hAnsi="Times New Roman" w:cs="Times New Roman"/>
                <w:i/>
                <w:iCs/>
                <w:sz w:val="20"/>
                <w:szCs w:val="20"/>
                <w:lang w:val="en-US"/>
              </w:rPr>
              <w:t>Directorate of Forensic Science</w:t>
            </w:r>
          </w:p>
          <w:p w:rsidR="00F268F2" w:rsidRPr="004F0D7B" w:rsidRDefault="00F268F2" w:rsidP="004F0D7B">
            <w:pPr>
              <w:rPr>
                <w:rFonts w:ascii="Times New Roman" w:hAnsi="Times New Roman" w:cs="Times New Roman"/>
                <w:i/>
                <w:iCs/>
                <w:sz w:val="20"/>
                <w:szCs w:val="20"/>
                <w:lang w:val="en-US"/>
              </w:rPr>
            </w:pPr>
            <w:r w:rsidRPr="004F0D7B">
              <w:rPr>
                <w:rFonts w:ascii="Times New Roman" w:hAnsi="Times New Roman" w:cs="Times New Roman"/>
                <w:i/>
                <w:iCs/>
                <w:sz w:val="20"/>
                <w:szCs w:val="20"/>
                <w:lang w:val="en-US"/>
              </w:rPr>
              <w:t>Services, Ministry of Home Affairs,</w:t>
            </w:r>
          </w:p>
          <w:p w:rsidR="00F268F2" w:rsidRPr="004F0D7B" w:rsidRDefault="00F268F2" w:rsidP="004F0D7B">
            <w:pPr>
              <w:rPr>
                <w:rFonts w:ascii="Times New Roman" w:hAnsi="Times New Roman" w:cs="Times New Roman"/>
                <w:i/>
                <w:iCs/>
                <w:sz w:val="20"/>
                <w:szCs w:val="20"/>
                <w:lang w:val="en-US"/>
              </w:rPr>
            </w:pPr>
            <w:r w:rsidRPr="004F0D7B">
              <w:rPr>
                <w:rFonts w:ascii="Times New Roman" w:hAnsi="Times New Roman" w:cs="Times New Roman"/>
                <w:i/>
                <w:iCs/>
                <w:sz w:val="20"/>
                <w:szCs w:val="20"/>
                <w:lang w:val="en-US"/>
              </w:rPr>
              <w:t>Govt. of India, Dakshin Marg,</w:t>
            </w:r>
          </w:p>
          <w:p w:rsidR="00F268F2" w:rsidRPr="004F0D7B" w:rsidRDefault="00F268F2" w:rsidP="004F0D7B">
            <w:pPr>
              <w:rPr>
                <w:rFonts w:ascii="Times New Roman" w:hAnsi="Times New Roman" w:cs="Times New Roman"/>
                <w:i/>
                <w:iCs/>
                <w:sz w:val="20"/>
                <w:szCs w:val="20"/>
                <w:lang w:val="en-US"/>
              </w:rPr>
            </w:pPr>
            <w:r w:rsidRPr="004F0D7B">
              <w:rPr>
                <w:rFonts w:ascii="Times New Roman" w:hAnsi="Times New Roman" w:cs="Times New Roman"/>
                <w:i/>
                <w:iCs/>
                <w:sz w:val="20"/>
                <w:szCs w:val="20"/>
                <w:lang w:val="en-US"/>
              </w:rPr>
              <w:t>Sector-36A, Chandigarh, 160036</w:t>
            </w:r>
          </w:p>
          <w:p w:rsidR="005A5448" w:rsidRPr="004F0D7B" w:rsidRDefault="005A5448" w:rsidP="004F0D7B">
            <w:pPr>
              <w:spacing w:before="240"/>
              <w:rPr>
                <w:rFonts w:ascii="Times New Roman" w:hAnsi="Times New Roman" w:cs="Times New Roman"/>
                <w:i/>
                <w:iCs/>
                <w:sz w:val="20"/>
                <w:szCs w:val="20"/>
              </w:rPr>
            </w:pPr>
            <w:r w:rsidRPr="004F0D7B">
              <w:rPr>
                <w:rFonts w:ascii="Times New Roman" w:hAnsi="Times New Roman" w:cs="Times New Roman"/>
                <w:i/>
                <w:iCs/>
                <w:sz w:val="20"/>
                <w:szCs w:val="20"/>
              </w:rPr>
              <w:t xml:space="preserve">Received:   </w:t>
            </w:r>
          </w:p>
          <w:p w:rsidR="005A5448" w:rsidRPr="004F0D7B" w:rsidRDefault="005A5448" w:rsidP="004F0D7B">
            <w:pPr>
              <w:rPr>
                <w:rFonts w:ascii="Times New Roman" w:hAnsi="Times New Roman" w:cs="Times New Roman"/>
                <w:i/>
                <w:iCs/>
                <w:sz w:val="20"/>
                <w:szCs w:val="20"/>
              </w:rPr>
            </w:pPr>
            <w:r w:rsidRPr="004F0D7B">
              <w:rPr>
                <w:rFonts w:ascii="Times New Roman" w:hAnsi="Times New Roman" w:cs="Times New Roman"/>
                <w:i/>
                <w:iCs/>
                <w:sz w:val="20"/>
                <w:szCs w:val="20"/>
              </w:rPr>
              <w:t>Revised: …………</w:t>
            </w:r>
          </w:p>
          <w:p w:rsidR="005A5448" w:rsidRPr="004F0D7B" w:rsidRDefault="005A5448" w:rsidP="004F0D7B">
            <w:pPr>
              <w:rPr>
                <w:rFonts w:ascii="Times New Roman" w:hAnsi="Times New Roman" w:cs="Times New Roman"/>
                <w:i/>
                <w:iCs/>
                <w:sz w:val="20"/>
                <w:szCs w:val="20"/>
              </w:rPr>
            </w:pPr>
            <w:r w:rsidRPr="004F0D7B">
              <w:rPr>
                <w:rFonts w:ascii="Times New Roman" w:hAnsi="Times New Roman" w:cs="Times New Roman"/>
                <w:i/>
                <w:iCs/>
                <w:sz w:val="20"/>
                <w:szCs w:val="20"/>
              </w:rPr>
              <w:t>Editorial approval:…….</w:t>
            </w:r>
          </w:p>
          <w:p w:rsidR="005A5448" w:rsidRPr="004F0D7B" w:rsidRDefault="005A5448" w:rsidP="004F0D7B">
            <w:pPr>
              <w:rPr>
                <w:rFonts w:ascii="Times New Roman" w:hAnsi="Times New Roman" w:cs="Times New Roman"/>
                <w:i/>
                <w:iCs/>
                <w:sz w:val="20"/>
                <w:szCs w:val="20"/>
              </w:rPr>
            </w:pPr>
            <w:r w:rsidRPr="004F0D7B">
              <w:rPr>
                <w:rFonts w:ascii="Times New Roman" w:hAnsi="Times New Roman" w:cs="Times New Roman"/>
                <w:i/>
                <w:iCs/>
                <w:sz w:val="20"/>
                <w:szCs w:val="20"/>
              </w:rPr>
              <w:t>Checked for plagiarism: …</w:t>
            </w:r>
          </w:p>
          <w:p w:rsidR="005A5448" w:rsidRPr="004F0D7B" w:rsidRDefault="005A5448" w:rsidP="004F0D7B">
            <w:pPr>
              <w:rPr>
                <w:rFonts w:ascii="Times New Roman" w:hAnsi="Times New Roman" w:cs="Times New Roman"/>
                <w:i/>
                <w:iCs/>
                <w:sz w:val="20"/>
                <w:szCs w:val="20"/>
              </w:rPr>
            </w:pPr>
            <w:r w:rsidRPr="004F0D7B">
              <w:rPr>
                <w:rFonts w:ascii="Times New Roman" w:hAnsi="Times New Roman" w:cs="Times New Roman"/>
                <w:i/>
                <w:iCs/>
                <w:sz w:val="20"/>
                <w:szCs w:val="20"/>
              </w:rPr>
              <w:t>Peer-reviewed article: ..</w:t>
            </w:r>
          </w:p>
          <w:p w:rsidR="005A5448" w:rsidRPr="002B7CC7" w:rsidRDefault="005A5448" w:rsidP="004F0D7B">
            <w:pPr>
              <w:rPr>
                <w:rFonts w:ascii="Times New Roman" w:hAnsi="Times New Roman" w:cs="Times New Roman"/>
                <w:i/>
                <w:iCs/>
                <w:sz w:val="20"/>
                <w:szCs w:val="20"/>
                <w:lang w:val="en-US"/>
              </w:rPr>
            </w:pPr>
            <w:r w:rsidRPr="004F0D7B">
              <w:rPr>
                <w:rFonts w:ascii="Times New Roman" w:hAnsi="Times New Roman" w:cs="Times New Roman"/>
                <w:i/>
                <w:iCs/>
                <w:sz w:val="20"/>
                <w:szCs w:val="20"/>
              </w:rPr>
              <w:t>Editor who approved:………</w:t>
            </w:r>
          </w:p>
        </w:tc>
        <w:tc>
          <w:tcPr>
            <w:tcW w:w="0" w:type="auto"/>
          </w:tcPr>
          <w:p w:rsidR="005A5448" w:rsidRDefault="005A5448" w:rsidP="004F0D7B">
            <w:pPr>
              <w:spacing w:before="240"/>
              <w:jc w:val="both"/>
              <w:rPr>
                <w:rFonts w:ascii="Times New Roman" w:hAnsi="Times New Roman" w:cs="Times New Roman"/>
                <w:b/>
                <w:bCs/>
                <w:i/>
                <w:iCs/>
                <w:sz w:val="20"/>
                <w:szCs w:val="20"/>
              </w:rPr>
            </w:pPr>
            <w:r w:rsidRPr="003D24B4">
              <w:rPr>
                <w:rFonts w:ascii="Times New Roman" w:hAnsi="Times New Roman" w:cs="Times New Roman"/>
                <w:b/>
                <w:bCs/>
                <w:i/>
                <w:iCs/>
                <w:sz w:val="20"/>
                <w:szCs w:val="20"/>
              </w:rPr>
              <w:t>ABSTRACT</w:t>
            </w:r>
          </w:p>
          <w:p w:rsidR="005A5448" w:rsidRPr="00D10506" w:rsidRDefault="005A5448" w:rsidP="004F0D7B">
            <w:pPr>
              <w:pStyle w:val="NormalWeb"/>
              <w:spacing w:before="0" w:beforeAutospacing="0" w:after="0" w:afterAutospacing="0"/>
              <w:jc w:val="both"/>
              <w:rPr>
                <w:i/>
                <w:iCs/>
                <w:sz w:val="22"/>
              </w:rPr>
            </w:pPr>
            <w:r w:rsidRPr="00D10506">
              <w:rPr>
                <w:rStyle w:val="Strong"/>
                <w:i/>
                <w:iCs/>
                <w:sz w:val="22"/>
              </w:rPr>
              <w:t xml:space="preserve">Background: </w:t>
            </w:r>
            <w:r w:rsidRPr="00D10506">
              <w:rPr>
                <w:i/>
                <w:iCs/>
                <w:sz w:val="22"/>
              </w:rPr>
              <w:t>The diagnosis of drowning is a major challenge in forensic practice, particularly when bodies are recovered from aquatic environments in an advanced state of decomposition. Under such circumstances, classical autopsy findings are often obscured, necessitating the use of ancillary techniques. Diatom analysis has emerged as a valuable forensic tool for supporting the diagnosis of antemortem drowning and assisting in the identification of the probable site of drowning.</w:t>
            </w:r>
            <w:r w:rsidRPr="00D10506">
              <w:rPr>
                <w:rStyle w:val="Strong"/>
                <w:i/>
                <w:iCs/>
                <w:sz w:val="22"/>
              </w:rPr>
              <w:t xml:space="preserve">Objective: </w:t>
            </w:r>
            <w:r w:rsidRPr="00D10506">
              <w:rPr>
                <w:i/>
                <w:iCs/>
                <w:sz w:val="22"/>
              </w:rPr>
              <w:t>To evaluate the forensic utility of diatom analysis in establishing the cause of death and correlating the probable site of drowning in decomposed bodies recovered from freshwater environments.</w:t>
            </w:r>
            <w:r w:rsidRPr="00D10506">
              <w:rPr>
                <w:rStyle w:val="Strong"/>
                <w:i/>
                <w:iCs/>
                <w:sz w:val="22"/>
              </w:rPr>
              <w:t xml:space="preserve">Materials and Methods: </w:t>
            </w:r>
            <w:r w:rsidRPr="00D10506">
              <w:rPr>
                <w:i/>
                <w:iCs/>
                <w:sz w:val="22"/>
              </w:rPr>
              <w:t>A case series of six freshwater drowning cases was examined at the Central Forensic Science Laboratory, Chandigarh, India. Bone samples (sternum and femur) and corresponding reference water samples were subjected to acid digestion using concentrated nitric acid. Extracted samples were centrifuged, washed, and mounted on microscopic slides. Diatoms were identified using light microscopy at 100× magnification and compared morphologically between tissue and reference water samples.</w:t>
            </w:r>
            <w:r w:rsidRPr="00D10506">
              <w:rPr>
                <w:rStyle w:val="Strong"/>
                <w:i/>
                <w:iCs/>
                <w:sz w:val="22"/>
              </w:rPr>
              <w:t xml:space="preserve">Results: </w:t>
            </w:r>
            <w:r w:rsidRPr="00D10506">
              <w:rPr>
                <w:i/>
                <w:iCs/>
                <w:sz w:val="22"/>
              </w:rPr>
              <w:t>Diatoms were detected in tissue and corresponding water samples in four cases, showing morphological similarity and taxonomic concordance. In two cases, diatoms were absent in bone samples but present in reference water samples, suggesting causes of death other than drowning. The findings supported antemortem drowning in four cases and excluded drowning in two cases.</w:t>
            </w:r>
            <w:r w:rsidRPr="00D10506">
              <w:rPr>
                <w:rStyle w:val="Strong"/>
                <w:i/>
                <w:iCs/>
                <w:sz w:val="22"/>
              </w:rPr>
              <w:t xml:space="preserve">Conclusion: </w:t>
            </w:r>
            <w:r w:rsidRPr="00D10506">
              <w:rPr>
                <w:i/>
                <w:iCs/>
                <w:sz w:val="22"/>
              </w:rPr>
              <w:t xml:space="preserve">Diatom analysis proved to be a reliable adjunct in the forensic diagnosis of drowning, particularly in decomposed bodies. The presence of diatoms in bone </w:t>
            </w:r>
            <w:r w:rsidR="00D951D9" w:rsidRPr="00D10506">
              <w:rPr>
                <w:i/>
                <w:iCs/>
                <w:sz w:val="22"/>
              </w:rPr>
              <w:t>samples</w:t>
            </w:r>
            <w:r w:rsidRPr="00D10506">
              <w:rPr>
                <w:i/>
                <w:iCs/>
                <w:sz w:val="22"/>
              </w:rPr>
              <w:t xml:space="preserve"> strongly supported antemortem drowning, while negative tissue findings aided in excluding drowning. Correlation of diatom profiles between tissues and water sources strengthened medico-legal conclusions regarding both cause and site of death.</w:t>
            </w:r>
          </w:p>
          <w:p w:rsidR="005A5448" w:rsidRPr="00D10506" w:rsidRDefault="005A5448" w:rsidP="004F0D7B">
            <w:pPr>
              <w:jc w:val="both"/>
              <w:rPr>
                <w:rFonts w:ascii="Times New Roman" w:hAnsi="Times New Roman" w:cs="Times New Roman"/>
                <w:i/>
                <w:iCs/>
                <w:szCs w:val="24"/>
                <w:lang w:val="en-US"/>
              </w:rPr>
            </w:pPr>
            <w:r w:rsidRPr="00D10506">
              <w:rPr>
                <w:rFonts w:ascii="Times New Roman" w:eastAsia="Times New Roman" w:hAnsi="Times New Roman" w:cs="Times New Roman"/>
                <w:b/>
                <w:bCs/>
                <w:i/>
                <w:iCs/>
                <w:szCs w:val="20"/>
                <w:lang w:eastAsia="en-IN"/>
              </w:rPr>
              <w:t>Keywords</w:t>
            </w:r>
            <w:r w:rsidRPr="00D10506">
              <w:rPr>
                <w:rFonts w:ascii="Times New Roman" w:eastAsia="Times New Roman" w:hAnsi="Times New Roman" w:cs="Times New Roman"/>
                <w:i/>
                <w:iCs/>
                <w:szCs w:val="20"/>
                <w:lang w:eastAsia="en-IN"/>
              </w:rPr>
              <w:t xml:space="preserve">: </w:t>
            </w:r>
            <w:r w:rsidR="00D10506">
              <w:rPr>
                <w:rFonts w:ascii="Times New Roman" w:eastAsia="Times New Roman" w:hAnsi="Times New Roman" w:cs="Times New Roman"/>
                <w:i/>
                <w:iCs/>
                <w:szCs w:val="20"/>
                <w:lang w:eastAsia="en-IN"/>
              </w:rPr>
              <w:t>A</w:t>
            </w:r>
            <w:r w:rsidR="00D10506" w:rsidRPr="00D10506">
              <w:rPr>
                <w:rFonts w:ascii="Times New Roman" w:hAnsi="Times New Roman" w:cs="Times New Roman"/>
                <w:i/>
                <w:iCs/>
                <w:szCs w:val="24"/>
                <w:lang w:val="en-US"/>
              </w:rPr>
              <w:t>nte-mortem</w:t>
            </w:r>
            <w:r w:rsidRPr="00D10506">
              <w:rPr>
                <w:rFonts w:ascii="Times New Roman" w:hAnsi="Times New Roman" w:cs="Times New Roman"/>
                <w:i/>
                <w:iCs/>
                <w:szCs w:val="24"/>
                <w:lang w:val="en-US"/>
              </w:rPr>
              <w:t xml:space="preserve"> drowning</w:t>
            </w:r>
            <w:r w:rsidR="00D10506">
              <w:rPr>
                <w:rFonts w:ascii="Times New Roman" w:hAnsi="Times New Roman" w:cs="Times New Roman"/>
                <w:i/>
                <w:iCs/>
                <w:szCs w:val="24"/>
                <w:lang w:val="en-US"/>
              </w:rPr>
              <w:t>;</w:t>
            </w:r>
            <w:r w:rsidR="00644FAC">
              <w:rPr>
                <w:rFonts w:ascii="Times New Roman" w:hAnsi="Times New Roman" w:cs="Times New Roman"/>
                <w:i/>
                <w:iCs/>
                <w:szCs w:val="24"/>
                <w:lang w:val="en-US"/>
              </w:rPr>
              <w:t xml:space="preserve"> </w:t>
            </w:r>
            <w:r w:rsidR="00D10506" w:rsidRPr="00D10506">
              <w:rPr>
                <w:rFonts w:ascii="Times New Roman" w:hAnsi="Times New Roman" w:cs="Times New Roman"/>
                <w:i/>
                <w:iCs/>
                <w:szCs w:val="24"/>
                <w:lang w:val="en-US"/>
              </w:rPr>
              <w:t>post-mortem</w:t>
            </w:r>
            <w:r w:rsidRPr="00D10506">
              <w:rPr>
                <w:rFonts w:ascii="Times New Roman" w:hAnsi="Times New Roman" w:cs="Times New Roman"/>
                <w:i/>
                <w:iCs/>
                <w:szCs w:val="24"/>
                <w:lang w:val="en-US"/>
              </w:rPr>
              <w:t xml:space="preserve"> drowning</w:t>
            </w:r>
            <w:r w:rsidR="00D10506">
              <w:rPr>
                <w:rFonts w:ascii="Times New Roman" w:hAnsi="Times New Roman" w:cs="Times New Roman"/>
                <w:i/>
                <w:iCs/>
                <w:szCs w:val="24"/>
                <w:lang w:val="en-US"/>
              </w:rPr>
              <w:t>;</w:t>
            </w:r>
            <w:r w:rsidR="00644FAC">
              <w:rPr>
                <w:rFonts w:ascii="Times New Roman" w:hAnsi="Times New Roman" w:cs="Times New Roman"/>
                <w:i/>
                <w:iCs/>
                <w:szCs w:val="24"/>
                <w:lang w:val="en-US"/>
              </w:rPr>
              <w:t xml:space="preserve"> </w:t>
            </w:r>
            <w:r w:rsidR="00D10506" w:rsidRPr="00D10506">
              <w:rPr>
                <w:rFonts w:ascii="Times New Roman" w:hAnsi="Times New Roman"/>
                <w:i/>
                <w:iCs/>
                <w:szCs w:val="24"/>
                <w:lang w:val="en-US"/>
              </w:rPr>
              <w:t>sternum</w:t>
            </w:r>
            <w:r w:rsidR="00D10506">
              <w:rPr>
                <w:rFonts w:ascii="Times New Roman" w:hAnsi="Times New Roman"/>
                <w:i/>
                <w:iCs/>
                <w:szCs w:val="24"/>
                <w:lang w:val="en-US"/>
              </w:rPr>
              <w:t>;</w:t>
            </w:r>
            <w:r w:rsidR="00644FAC">
              <w:rPr>
                <w:rFonts w:ascii="Times New Roman" w:hAnsi="Times New Roman"/>
                <w:i/>
                <w:iCs/>
                <w:szCs w:val="24"/>
                <w:lang w:val="en-US"/>
              </w:rPr>
              <w:t xml:space="preserve"> </w:t>
            </w:r>
            <w:r w:rsidR="00D10506" w:rsidRPr="00D10506">
              <w:rPr>
                <w:rFonts w:ascii="Times New Roman" w:hAnsi="Times New Roman" w:cs="Times New Roman"/>
                <w:i/>
                <w:iCs/>
                <w:szCs w:val="24"/>
                <w:lang w:val="en-US"/>
              </w:rPr>
              <w:t>asphyxia</w:t>
            </w:r>
            <w:r w:rsidR="00D10506">
              <w:rPr>
                <w:rFonts w:ascii="Times New Roman" w:hAnsi="Times New Roman" w:cs="Times New Roman"/>
                <w:i/>
                <w:iCs/>
                <w:szCs w:val="24"/>
                <w:lang w:val="en-US"/>
              </w:rPr>
              <w:t>;</w:t>
            </w:r>
            <w:r w:rsidR="00D10506" w:rsidRPr="00D10506">
              <w:rPr>
                <w:rFonts w:ascii="Times New Roman" w:hAnsi="Times New Roman" w:cs="Times New Roman"/>
                <w:i/>
                <w:iCs/>
                <w:szCs w:val="24"/>
                <w:lang w:val="en-US"/>
              </w:rPr>
              <w:t>acid</w:t>
            </w:r>
            <w:r w:rsidRPr="00D10506">
              <w:rPr>
                <w:rFonts w:ascii="Times New Roman" w:hAnsi="Times New Roman" w:cs="Times New Roman"/>
                <w:i/>
                <w:iCs/>
                <w:szCs w:val="24"/>
                <w:lang w:val="en-US"/>
              </w:rPr>
              <w:t xml:space="preserve"> digestion.</w:t>
            </w:r>
          </w:p>
        </w:tc>
      </w:tr>
      <w:tr w:rsidR="005A5448" w:rsidRPr="007574A6" w:rsidTr="00E24F6C">
        <w:tc>
          <w:tcPr>
            <w:tcW w:w="0" w:type="auto"/>
            <w:gridSpan w:val="2"/>
          </w:tcPr>
          <w:p w:rsidR="005A5448" w:rsidRPr="00D10506" w:rsidRDefault="005A5448" w:rsidP="004A60A3">
            <w:pPr>
              <w:jc w:val="both"/>
              <w:rPr>
                <w:sz w:val="18"/>
                <w:szCs w:val="18"/>
              </w:rPr>
            </w:pPr>
            <w:r w:rsidRPr="00D10506">
              <w:rPr>
                <w:i/>
                <w:iCs/>
                <w:sz w:val="18"/>
                <w:szCs w:val="18"/>
              </w:rPr>
              <w:t xml:space="preserve">Cite this article: </w:t>
            </w:r>
            <w:r w:rsidR="005F5DF5" w:rsidRPr="00D10506">
              <w:rPr>
                <w:i/>
                <w:iCs/>
                <w:sz w:val="18"/>
                <w:szCs w:val="18"/>
              </w:rPr>
              <w:t>Sa</w:t>
            </w:r>
            <w:r w:rsidR="00AA30FD" w:rsidRPr="00D10506">
              <w:rPr>
                <w:i/>
                <w:iCs/>
                <w:sz w:val="18"/>
                <w:szCs w:val="18"/>
              </w:rPr>
              <w:t xml:space="preserve">inee D, </w:t>
            </w:r>
            <w:r w:rsidRPr="00D10506">
              <w:rPr>
                <w:i/>
                <w:iCs/>
                <w:sz w:val="18"/>
                <w:szCs w:val="18"/>
              </w:rPr>
              <w:t>Gupta T</w:t>
            </w:r>
            <w:r w:rsidR="00AA30FD" w:rsidRPr="00D10506">
              <w:rPr>
                <w:i/>
                <w:iCs/>
                <w:sz w:val="18"/>
                <w:szCs w:val="18"/>
              </w:rPr>
              <w:t>, Kumar R</w:t>
            </w:r>
            <w:r w:rsidR="00D10506" w:rsidRPr="00D10506">
              <w:rPr>
                <w:i/>
                <w:iCs/>
                <w:sz w:val="18"/>
                <w:szCs w:val="18"/>
              </w:rPr>
              <w:t>.</w:t>
            </w:r>
            <w:r w:rsidR="004A60A3">
              <w:rPr>
                <w:i/>
                <w:iCs/>
                <w:sz w:val="18"/>
                <w:szCs w:val="18"/>
              </w:rPr>
              <w:t xml:space="preserve">, </w:t>
            </w:r>
            <w:r w:rsidR="004A60A3" w:rsidRPr="00D10506">
              <w:rPr>
                <w:i/>
                <w:iCs/>
                <w:sz w:val="18"/>
                <w:szCs w:val="18"/>
              </w:rPr>
              <w:t>Yadav DS</w:t>
            </w:r>
            <w:r w:rsidR="004A60A3">
              <w:rPr>
                <w:i/>
                <w:iCs/>
                <w:sz w:val="18"/>
                <w:szCs w:val="18"/>
              </w:rPr>
              <w:t>;</w:t>
            </w:r>
            <w:r w:rsidR="008620F2">
              <w:rPr>
                <w:i/>
                <w:iCs/>
                <w:sz w:val="18"/>
                <w:szCs w:val="18"/>
              </w:rPr>
              <w:t xml:space="preserve"> </w:t>
            </w:r>
            <w:r w:rsidR="00AA30FD" w:rsidRPr="00D10506">
              <w:rPr>
                <w:rFonts w:cstheme="minorHAnsi"/>
                <w:i/>
                <w:sz w:val="18"/>
              </w:rPr>
              <w:t xml:space="preserve">Retrospective </w:t>
            </w:r>
            <w:r w:rsidR="00D10506" w:rsidRPr="00D10506">
              <w:rPr>
                <w:rFonts w:cstheme="minorHAnsi"/>
                <w:i/>
                <w:sz w:val="18"/>
              </w:rPr>
              <w:t>evaluation of diatom evidence in the forensic diagnosis of drowning</w:t>
            </w:r>
            <w:r w:rsidRPr="00D10506">
              <w:rPr>
                <w:i/>
                <w:iCs/>
                <w:sz w:val="18"/>
                <w:szCs w:val="18"/>
                <w:lang w:val="en-US"/>
              </w:rPr>
              <w:t>.</w:t>
            </w:r>
            <w:r w:rsidRPr="00D10506">
              <w:rPr>
                <w:rStyle w:val="Emphasis"/>
                <w:sz w:val="18"/>
                <w:szCs w:val="18"/>
              </w:rPr>
              <w:t>Int J Health Res Medico Leg Prae</w:t>
            </w:r>
            <w:r w:rsidR="00D10506">
              <w:rPr>
                <w:rStyle w:val="Emphasis"/>
                <w:sz w:val="18"/>
                <w:szCs w:val="18"/>
              </w:rPr>
              <w:t>.</w:t>
            </w:r>
            <w:r w:rsidRPr="00D10506">
              <w:rPr>
                <w:rStyle w:val="Emphasis"/>
                <w:sz w:val="18"/>
                <w:szCs w:val="18"/>
              </w:rPr>
              <w:t xml:space="preserve"> 2025 </w:t>
            </w:r>
            <w:r w:rsidR="00AA30FD" w:rsidRPr="00D10506">
              <w:rPr>
                <w:rStyle w:val="Emphasis"/>
                <w:sz w:val="18"/>
                <w:szCs w:val="18"/>
              </w:rPr>
              <w:t>July</w:t>
            </w:r>
            <w:r w:rsidRPr="00D10506">
              <w:rPr>
                <w:rStyle w:val="Emphasis"/>
                <w:sz w:val="18"/>
                <w:szCs w:val="18"/>
              </w:rPr>
              <w:t>-</w:t>
            </w:r>
            <w:r w:rsidR="00AA30FD" w:rsidRPr="00D10506">
              <w:rPr>
                <w:rStyle w:val="Emphasis"/>
                <w:sz w:val="18"/>
                <w:szCs w:val="18"/>
              </w:rPr>
              <w:t>Dec</w:t>
            </w:r>
            <w:r w:rsidRPr="00D10506">
              <w:rPr>
                <w:rStyle w:val="Emphasis"/>
                <w:sz w:val="18"/>
                <w:szCs w:val="18"/>
              </w:rPr>
              <w:t xml:space="preserve">;11(1):x-y. Doi: </w:t>
            </w:r>
          </w:p>
        </w:tc>
      </w:tr>
    </w:tbl>
    <w:p w:rsidR="00D10506" w:rsidRDefault="009F0ABF" w:rsidP="00D10506">
      <w:pPr>
        <w:spacing w:before="240" w:line="240" w:lineRule="auto"/>
        <w:jc w:val="both"/>
        <w:rPr>
          <w:rFonts w:ascii="Times New Roman" w:hAnsi="Times New Roman" w:cs="Times New Roman"/>
          <w:b/>
          <w:sz w:val="24"/>
          <w:szCs w:val="24"/>
          <w:lang w:val="en-US"/>
        </w:rPr>
      </w:pPr>
      <w:r w:rsidRPr="001D63E1">
        <w:rPr>
          <w:rFonts w:ascii="Times New Roman" w:hAnsi="Times New Roman" w:cs="Times New Roman"/>
          <w:b/>
          <w:sz w:val="24"/>
          <w:szCs w:val="24"/>
          <w:lang w:val="en-US"/>
        </w:rPr>
        <w:t>INTRODUCTION</w:t>
      </w:r>
    </w:p>
    <w:p w:rsidR="00D37D5D" w:rsidRPr="00014E76" w:rsidRDefault="00D37D5D" w:rsidP="00D10506">
      <w:pPr>
        <w:spacing w:before="240" w:line="240" w:lineRule="auto"/>
        <w:jc w:val="both"/>
        <w:rPr>
          <w:rFonts w:ascii="Times New Roman" w:hAnsi="Times New Roman" w:cs="Times New Roman"/>
          <w:sz w:val="24"/>
        </w:rPr>
      </w:pPr>
      <w:r w:rsidRPr="00014E76">
        <w:rPr>
          <w:rFonts w:ascii="Times New Roman" w:hAnsi="Times New Roman" w:cs="Times New Roman"/>
          <w:sz w:val="24"/>
        </w:rPr>
        <w:t>Determining the cause of death of a body recovered from water is one of the most challenging tasks for investigating officers. Drowning is a form of asphyxia in which atmospheric air is prevented from entering the lungs of the victim</w:t>
      </w:r>
      <w:r w:rsidR="00D10506" w:rsidRPr="00014E76">
        <w:rPr>
          <w:rFonts w:ascii="Times New Roman" w:hAnsi="Times New Roman" w:cs="Times New Roman"/>
          <w:sz w:val="24"/>
        </w:rPr>
        <w:t>.</w:t>
      </w:r>
      <w:r w:rsidR="00D10506" w:rsidRPr="00BB7260">
        <w:rPr>
          <w:rFonts w:ascii="Times New Roman" w:hAnsi="Times New Roman" w:cs="Times New Roman"/>
          <w:sz w:val="24"/>
          <w:vertAlign w:val="superscript"/>
        </w:rPr>
        <w:t>1</w:t>
      </w:r>
      <w:r w:rsidRPr="00014E76">
        <w:rPr>
          <w:rFonts w:ascii="Times New Roman" w:hAnsi="Times New Roman" w:cs="Times New Roman"/>
          <w:sz w:val="24"/>
        </w:rPr>
        <w:t xml:space="preserve"> In most drowning cases, </w:t>
      </w:r>
      <w:r w:rsidRPr="00014E76">
        <w:rPr>
          <w:rFonts w:ascii="Times New Roman" w:hAnsi="Times New Roman" w:cs="Times New Roman"/>
          <w:sz w:val="24"/>
        </w:rPr>
        <w:lastRenderedPageBreak/>
        <w:t>the body is usually decomposed, due to which the features suggesting antemortem and postmortem drowning become indistinct. In such situations, diatoms present in water bodies help in resolving medico-legal uncertainties.The presence of diat</w:t>
      </w:r>
      <w:r w:rsidR="00AF2509" w:rsidRPr="00014E76">
        <w:rPr>
          <w:rFonts w:ascii="Times New Roman" w:hAnsi="Times New Roman" w:cs="Times New Roman"/>
          <w:sz w:val="24"/>
        </w:rPr>
        <w:t xml:space="preserve">oms in the body of the </w:t>
      </w:r>
      <w:r w:rsidR="00D10506" w:rsidRPr="00014E76">
        <w:rPr>
          <w:rFonts w:ascii="Times New Roman" w:hAnsi="Times New Roman" w:cs="Times New Roman"/>
          <w:sz w:val="24"/>
        </w:rPr>
        <w:t>deceased,</w:t>
      </w:r>
      <w:r w:rsidRPr="00014E76">
        <w:rPr>
          <w:rFonts w:ascii="Times New Roman" w:hAnsi="Times New Roman" w:cs="Times New Roman"/>
          <w:sz w:val="24"/>
        </w:rPr>
        <w:t>especially in the bone marrow of the sternum and long bones</w:t>
      </w:r>
      <w:r w:rsidR="00716708" w:rsidRPr="00014E76">
        <w:rPr>
          <w:rFonts w:ascii="Times New Roman" w:hAnsi="Times New Roman" w:cs="Times New Roman"/>
          <w:sz w:val="24"/>
        </w:rPr>
        <w:t xml:space="preserve">, </w:t>
      </w:r>
      <w:r w:rsidRPr="00014E76">
        <w:rPr>
          <w:rFonts w:ascii="Times New Roman" w:hAnsi="Times New Roman" w:cs="Times New Roman"/>
          <w:sz w:val="24"/>
        </w:rPr>
        <w:t xml:space="preserve">is considered a </w:t>
      </w:r>
      <w:r w:rsidR="000364B0" w:rsidRPr="00014E76">
        <w:rPr>
          <w:rFonts w:ascii="Times New Roman" w:hAnsi="Times New Roman" w:cs="Times New Roman"/>
          <w:sz w:val="24"/>
        </w:rPr>
        <w:t>positive indicator of drowning</w:t>
      </w:r>
      <w:r w:rsidR="00D10506" w:rsidRPr="00014E76">
        <w:rPr>
          <w:rFonts w:ascii="Times New Roman" w:hAnsi="Times New Roman" w:cs="Times New Roman"/>
          <w:sz w:val="24"/>
        </w:rPr>
        <w:t>.</w:t>
      </w:r>
      <w:r w:rsidR="004A60A3" w:rsidRPr="00BB7260">
        <w:rPr>
          <w:rFonts w:ascii="Times New Roman" w:hAnsi="Times New Roman" w:cs="Times New Roman"/>
          <w:sz w:val="24"/>
          <w:vertAlign w:val="superscript"/>
        </w:rPr>
        <w:t>2</w:t>
      </w:r>
      <w:r w:rsidRPr="00014E76">
        <w:rPr>
          <w:rFonts w:ascii="Times New Roman" w:hAnsi="Times New Roman" w:cs="Times New Roman"/>
          <w:sz w:val="24"/>
        </w:rPr>
        <w:t xml:space="preserve"> In antemortem drowning, a considerable amount of </w:t>
      </w:r>
      <w:r w:rsidR="00D10506" w:rsidRPr="00014E76">
        <w:rPr>
          <w:rFonts w:ascii="Times New Roman" w:hAnsi="Times New Roman" w:cs="Times New Roman"/>
          <w:sz w:val="24"/>
        </w:rPr>
        <w:t>water,</w:t>
      </w:r>
      <w:r w:rsidRPr="00014E76">
        <w:rPr>
          <w:rFonts w:ascii="Times New Roman" w:hAnsi="Times New Roman" w:cs="Times New Roman"/>
          <w:sz w:val="24"/>
        </w:rPr>
        <w:t xml:space="preserve"> along with </w:t>
      </w:r>
      <w:r w:rsidR="00D10506" w:rsidRPr="00014E76">
        <w:rPr>
          <w:rFonts w:ascii="Times New Roman" w:hAnsi="Times New Roman" w:cs="Times New Roman"/>
          <w:sz w:val="24"/>
        </w:rPr>
        <w:t>diatoms,</w:t>
      </w:r>
      <w:r w:rsidRPr="00014E76">
        <w:rPr>
          <w:rFonts w:ascii="Times New Roman" w:hAnsi="Times New Roman" w:cs="Times New Roman"/>
          <w:sz w:val="24"/>
        </w:rPr>
        <w:t xml:space="preserve"> reaches the lungs and other organs (bone marrow, spleen, kidney, and li</w:t>
      </w:r>
      <w:r w:rsidR="000364B0" w:rsidRPr="00014E76">
        <w:rPr>
          <w:rFonts w:ascii="Times New Roman" w:hAnsi="Times New Roman" w:cs="Times New Roman"/>
          <w:sz w:val="24"/>
        </w:rPr>
        <w:t>ver) through blood circulation</w:t>
      </w:r>
      <w:r w:rsidR="00D10506" w:rsidRPr="00014E76">
        <w:rPr>
          <w:rFonts w:ascii="Times New Roman" w:hAnsi="Times New Roman" w:cs="Times New Roman"/>
          <w:sz w:val="24"/>
        </w:rPr>
        <w:t>.</w:t>
      </w:r>
      <w:r w:rsidR="004A60A3" w:rsidRPr="00BB7260">
        <w:rPr>
          <w:rFonts w:ascii="Times New Roman" w:hAnsi="Times New Roman" w:cs="Times New Roman"/>
          <w:sz w:val="24"/>
          <w:vertAlign w:val="superscript"/>
        </w:rPr>
        <w:t>3</w:t>
      </w:r>
      <w:r w:rsidRPr="00014E76">
        <w:rPr>
          <w:rFonts w:ascii="Times New Roman" w:hAnsi="Times New Roman" w:cs="Times New Roman"/>
          <w:sz w:val="24"/>
        </w:rPr>
        <w:t xml:space="preserve"> In contrast, during postmortem submersion, due to the absence of circulation, diatoms cannot reach distant organs.</w:t>
      </w:r>
    </w:p>
    <w:p w:rsidR="00703FCD" w:rsidRPr="001D63E1" w:rsidRDefault="00D37D5D" w:rsidP="004F0D7B">
      <w:pPr>
        <w:pStyle w:val="NormalWeb"/>
        <w:jc w:val="both"/>
      </w:pPr>
      <w:r w:rsidRPr="001D63E1">
        <w:t xml:space="preserve">Diatoms possess a hard silica cell wall, which makes them resistant to various tissue digestion methods such as acid digestion, enzymatic digestion, and the Soluene-350 digestion method. Therefore, diatoms can be used as a reliable tool not only for determining antemortem or postmortem </w:t>
      </w:r>
      <w:r w:rsidR="00D10506">
        <w:t>drowning but</w:t>
      </w:r>
      <w:r w:rsidRPr="001D63E1">
        <w:t xml:space="preserve"> also for identifying the actual site of drowning. Different species of diatoms inhabit specific water bodies according to their nutritional requirements and the physicochemical parameters of water. This ecological specificity helps in associating a body with a particular drowning site. For this reason, continuous assessment of water bodies for diatom profiles is recommended</w:t>
      </w:r>
      <w:r w:rsidR="00D10506">
        <w:t>.</w:t>
      </w:r>
      <w:r w:rsidR="004A60A3" w:rsidRPr="00BB7260">
        <w:rPr>
          <w:vertAlign w:val="superscript"/>
        </w:rPr>
        <w:t>4</w:t>
      </w:r>
      <w:r w:rsidR="00703FCD" w:rsidRPr="001D63E1">
        <w:t xml:space="preserve"> The diatom assemblage of a given aquatic environment can serve as a reference standard for comparison with diatoms recovered from human tissues for the determination of the probable site of drowning. In the present case series, decomposed bodies were recovered from multiple water bodies, and the postmortem examinations were inconclusive with respect to the cause of death. Consequently, samples of long bone and sternum collected during autopsy, along with corresponding reference water samples from the alleged sites of occurrence, were subjected to diatom analysis at the Biology Division, Central Forensic Science Laboratory, Chandigarh. The primary forensic query was to ascertain whether the diatom profiles detected in tissue samples corresponded with those recovered from the reference water sources. Diatoms were extracted from both bone and water samples using standard acid digestion techniques. Representative photomicrographs of the recovered diatom taxa were obtained using light microscopy and subjected to comparative morphological analysis for forensic correlation.</w:t>
      </w:r>
    </w:p>
    <w:p w:rsidR="00FA1571" w:rsidRPr="001D63E1" w:rsidRDefault="00FA1571" w:rsidP="004F0D7B">
      <w:pPr>
        <w:spacing w:line="240" w:lineRule="auto"/>
        <w:jc w:val="both"/>
        <w:rPr>
          <w:rFonts w:ascii="Times New Roman" w:hAnsi="Times New Roman" w:cs="Times New Roman"/>
          <w:b/>
          <w:sz w:val="24"/>
          <w:szCs w:val="24"/>
        </w:rPr>
      </w:pPr>
      <w:r w:rsidRPr="001D63E1">
        <w:rPr>
          <w:rFonts w:ascii="Times New Roman" w:hAnsi="Times New Roman" w:cs="Times New Roman"/>
          <w:b/>
          <w:sz w:val="24"/>
          <w:szCs w:val="24"/>
        </w:rPr>
        <w:t>MATERIALS AND METHODS</w:t>
      </w:r>
    </w:p>
    <w:p w:rsidR="00AF2509" w:rsidRPr="001D63E1" w:rsidRDefault="00AF2509" w:rsidP="004F0D7B">
      <w:pPr>
        <w:spacing w:before="100" w:beforeAutospacing="1" w:after="100" w:afterAutospacing="1" w:line="240" w:lineRule="auto"/>
        <w:jc w:val="both"/>
        <w:rPr>
          <w:rFonts w:ascii="Times New Roman" w:eastAsia="Times New Roman" w:hAnsi="Times New Roman" w:cs="Times New Roman"/>
          <w:sz w:val="24"/>
          <w:szCs w:val="24"/>
          <w:lang w:val="en-US"/>
        </w:rPr>
      </w:pPr>
      <w:r w:rsidRPr="001D63E1">
        <w:rPr>
          <w:rFonts w:ascii="Times New Roman" w:eastAsia="Times New Roman" w:hAnsi="Times New Roman" w:cs="Times New Roman"/>
          <w:sz w:val="24"/>
          <w:szCs w:val="24"/>
          <w:lang w:val="en-US"/>
        </w:rPr>
        <w:t>All cases included in the present study involved freshwater drowning. Following postmortem examination of the deceased individuals, relevant exhibits were submitted to the forensic laboratory. The study was based on cases received from various regions of India. Diatoms were extracted from biological exhibits (sternum and femur) and corresponding reference water samples using the acid digestion method, as described by Pollanen</w:t>
      </w:r>
      <w:r w:rsidR="004A60A3" w:rsidRPr="00BB7260">
        <w:rPr>
          <w:rFonts w:ascii="Times New Roman" w:eastAsia="Times New Roman" w:hAnsi="Times New Roman" w:cs="Times New Roman"/>
          <w:sz w:val="24"/>
          <w:szCs w:val="24"/>
          <w:vertAlign w:val="superscript"/>
          <w:lang w:val="en-US"/>
        </w:rPr>
        <w:t>5</w:t>
      </w:r>
      <w:r w:rsidRPr="001D63E1">
        <w:rPr>
          <w:rFonts w:ascii="Times New Roman" w:eastAsia="Times New Roman" w:hAnsi="Times New Roman" w:cs="Times New Roman"/>
          <w:sz w:val="24"/>
          <w:szCs w:val="24"/>
          <w:lang w:val="en-US"/>
        </w:rPr>
        <w:t xml:space="preserve"> and Pal et al.</w:t>
      </w:r>
      <w:r w:rsidR="004F2B7D" w:rsidRPr="00BB7260">
        <w:rPr>
          <w:rFonts w:ascii="Times New Roman" w:eastAsia="Times New Roman" w:hAnsi="Times New Roman" w:cs="Times New Roman"/>
          <w:sz w:val="24"/>
          <w:szCs w:val="24"/>
          <w:vertAlign w:val="superscript"/>
          <w:lang w:val="en-US"/>
        </w:rPr>
        <w:t>6</w:t>
      </w:r>
      <w:r w:rsidRPr="001D63E1">
        <w:rPr>
          <w:rFonts w:ascii="Times New Roman" w:eastAsia="Times New Roman" w:hAnsi="Times New Roman" w:cs="Times New Roman"/>
          <w:sz w:val="24"/>
          <w:szCs w:val="24"/>
          <w:lang w:val="en-US"/>
        </w:rPr>
        <w:t xml:space="preserve"> Both biological and control water samples were processed and examined. A comparative chart was prepared to assist in the taxonomic identification of diatoms.</w:t>
      </w:r>
    </w:p>
    <w:p w:rsidR="00AF2509" w:rsidRPr="001D63E1" w:rsidRDefault="00AF2509" w:rsidP="004F0D7B">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1D63E1">
        <w:rPr>
          <w:rFonts w:ascii="Times New Roman" w:eastAsia="Times New Roman" w:hAnsi="Times New Roman" w:cs="Times New Roman"/>
          <w:b/>
          <w:bCs/>
          <w:sz w:val="24"/>
          <w:szCs w:val="24"/>
          <w:lang w:val="en-US"/>
        </w:rPr>
        <w:t>Examination of Diatoms in Bone Samples</w:t>
      </w:r>
    </w:p>
    <w:p w:rsidR="00AF2509" w:rsidRPr="001D63E1" w:rsidRDefault="00AF2509" w:rsidP="004F0D7B">
      <w:pPr>
        <w:spacing w:before="100" w:beforeAutospacing="1" w:after="100" w:afterAutospacing="1" w:line="240" w:lineRule="auto"/>
        <w:jc w:val="both"/>
        <w:rPr>
          <w:rFonts w:ascii="Times New Roman" w:eastAsia="Times New Roman" w:hAnsi="Times New Roman" w:cs="Times New Roman"/>
          <w:sz w:val="24"/>
          <w:szCs w:val="24"/>
          <w:lang w:val="en-US"/>
        </w:rPr>
      </w:pPr>
      <w:r w:rsidRPr="001D63E1">
        <w:rPr>
          <w:rFonts w:ascii="Times New Roman" w:eastAsia="Times New Roman" w:hAnsi="Times New Roman" w:cs="Times New Roman"/>
          <w:sz w:val="24"/>
          <w:szCs w:val="24"/>
          <w:lang w:val="en-US"/>
        </w:rPr>
        <w:t>The external surface of the bone samples was first cleaned by carefully removing adhering soft tissues and muscles using a sterile surgical blade, followed by thorough washing with distilled water. The cleaned bones were air-dried. A section of approximately 1 × 1 cm was cut from each bone using a bone cutter. The bone section was then placed in a 500 mL glass beaker, and 50 mL of concentrated nitric acid was added. The samples were kept in a fume hood until the emission of fumes ceased.</w:t>
      </w:r>
    </w:p>
    <w:p w:rsidR="00AF2509" w:rsidRPr="001D63E1" w:rsidRDefault="00AF2509" w:rsidP="004F0D7B">
      <w:pPr>
        <w:spacing w:before="100" w:beforeAutospacing="1" w:after="100" w:afterAutospacing="1" w:line="240" w:lineRule="auto"/>
        <w:jc w:val="both"/>
        <w:rPr>
          <w:rFonts w:ascii="Times New Roman" w:eastAsia="Times New Roman" w:hAnsi="Times New Roman" w:cs="Times New Roman"/>
          <w:sz w:val="24"/>
          <w:szCs w:val="24"/>
          <w:lang w:val="en-US"/>
        </w:rPr>
      </w:pPr>
      <w:r w:rsidRPr="001D63E1">
        <w:rPr>
          <w:rFonts w:ascii="Times New Roman" w:eastAsia="Times New Roman" w:hAnsi="Times New Roman" w:cs="Times New Roman"/>
          <w:sz w:val="24"/>
          <w:szCs w:val="24"/>
          <w:lang w:val="en-US"/>
        </w:rPr>
        <w:t xml:space="preserve">After approximately 24 hours, 100 mL of molecular-grade water was added to the beaker. The suspension was strained, and undigested bone fragments and fatty materials were carefully removed. The filtrate and corresponding control water samples were transferred into separate, properly </w:t>
      </w:r>
      <w:r w:rsidR="00D10506">
        <w:rPr>
          <w:rFonts w:ascii="Times New Roman" w:eastAsia="Times New Roman" w:hAnsi="Times New Roman" w:cs="Times New Roman"/>
          <w:sz w:val="24"/>
          <w:szCs w:val="24"/>
          <w:lang w:val="en-US"/>
        </w:rPr>
        <w:t>labelled</w:t>
      </w:r>
      <w:r w:rsidRPr="001D63E1">
        <w:rPr>
          <w:rFonts w:ascii="Times New Roman" w:eastAsia="Times New Roman" w:hAnsi="Times New Roman" w:cs="Times New Roman"/>
          <w:sz w:val="24"/>
          <w:szCs w:val="24"/>
          <w:lang w:val="en-US"/>
        </w:rPr>
        <w:t xml:space="preserve"> 2 mL microcentrifuge tubes bearing the case and exhibit numbers. </w:t>
      </w:r>
      <w:r w:rsidRPr="001D63E1">
        <w:rPr>
          <w:rFonts w:ascii="Times New Roman" w:eastAsia="Times New Roman" w:hAnsi="Times New Roman" w:cs="Times New Roman"/>
          <w:sz w:val="24"/>
          <w:szCs w:val="24"/>
          <w:lang w:val="en-US"/>
        </w:rPr>
        <w:lastRenderedPageBreak/>
        <w:t>The samples were centrifuged at 4000 rpm for 10 minutes. After centrifugation, the supernatant was discarded, leaving the pellet intact, and the tubes were refilled with molecular-grade water. This washing step was repeated 4–5 times. After the final wash, traces of acid were removed by rinsing the pellet with a drop of molecular-grade water.</w:t>
      </w:r>
    </w:p>
    <w:p w:rsidR="00AF2509" w:rsidRPr="001D63E1" w:rsidRDefault="00AF2509" w:rsidP="004F0D7B">
      <w:pPr>
        <w:spacing w:before="100" w:beforeAutospacing="1" w:after="100" w:afterAutospacing="1" w:line="240" w:lineRule="auto"/>
        <w:jc w:val="both"/>
        <w:rPr>
          <w:rFonts w:ascii="Times New Roman" w:eastAsia="Times New Roman" w:hAnsi="Times New Roman" w:cs="Times New Roman"/>
          <w:sz w:val="24"/>
          <w:szCs w:val="24"/>
          <w:lang w:val="en-US"/>
        </w:rPr>
      </w:pPr>
      <w:r w:rsidRPr="001D63E1">
        <w:rPr>
          <w:rFonts w:ascii="Times New Roman" w:eastAsia="Times New Roman" w:hAnsi="Times New Roman" w:cs="Times New Roman"/>
          <w:sz w:val="24"/>
          <w:szCs w:val="24"/>
          <w:lang w:val="en-US"/>
        </w:rPr>
        <w:t>Microscopic slides were prepared from the pellet and mounted using a permanent mounting medium (DPX). The slides were examined under a light microscope at 100× magnification. Photomicrographs of each observed diatom species were taken and compared with the diatom species detected in the corresponding tissue and reference samples.</w:t>
      </w:r>
    </w:p>
    <w:p w:rsidR="00AF2509" w:rsidRPr="001D63E1" w:rsidRDefault="00AF2509" w:rsidP="004F0D7B">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1D63E1">
        <w:rPr>
          <w:rFonts w:ascii="Times New Roman" w:eastAsia="Times New Roman" w:hAnsi="Times New Roman" w:cs="Times New Roman"/>
          <w:b/>
          <w:bCs/>
          <w:sz w:val="24"/>
          <w:szCs w:val="24"/>
          <w:lang w:val="en-US"/>
        </w:rPr>
        <w:t>Examination of Diatoms in Reference Water Samples</w:t>
      </w:r>
    </w:p>
    <w:p w:rsidR="00AF2509" w:rsidRPr="001D63E1" w:rsidRDefault="00AF2509" w:rsidP="004F0D7B">
      <w:pPr>
        <w:spacing w:before="100" w:beforeAutospacing="1" w:after="100" w:afterAutospacing="1" w:line="240" w:lineRule="auto"/>
        <w:jc w:val="both"/>
        <w:rPr>
          <w:rFonts w:ascii="Times New Roman" w:eastAsia="Times New Roman" w:hAnsi="Times New Roman" w:cs="Times New Roman"/>
          <w:sz w:val="24"/>
          <w:szCs w:val="24"/>
          <w:lang w:val="en-US"/>
        </w:rPr>
      </w:pPr>
      <w:r w:rsidRPr="001D63E1">
        <w:rPr>
          <w:rFonts w:ascii="Times New Roman" w:eastAsia="Times New Roman" w:hAnsi="Times New Roman" w:cs="Times New Roman"/>
          <w:sz w:val="24"/>
          <w:szCs w:val="24"/>
          <w:lang w:val="en-US"/>
        </w:rPr>
        <w:t>Approximately 100 mL of each reference water sample was treated with 10 mL of concentrated nitric acid and a small amount (pinch) of potassium dichromate. The samples were left to incubate overnight. On the following day, the samples were centrifuged at 4000 rpm for 10 minutes. The supernatant was discarded, and the pellet was retained. The pellet was washed by refilling the tubes with molecular-grade water, and the centrifugation step was repeated 2–3 times to remove residual acids.</w:t>
      </w:r>
    </w:p>
    <w:p w:rsidR="00AF2509" w:rsidRPr="001D63E1" w:rsidRDefault="00AF2509" w:rsidP="004F0D7B">
      <w:pPr>
        <w:spacing w:before="100" w:beforeAutospacing="1" w:after="100" w:afterAutospacing="1" w:line="240" w:lineRule="auto"/>
        <w:jc w:val="both"/>
        <w:rPr>
          <w:rFonts w:ascii="Times New Roman" w:eastAsia="Times New Roman" w:hAnsi="Times New Roman" w:cs="Times New Roman"/>
          <w:sz w:val="24"/>
          <w:szCs w:val="24"/>
          <w:lang w:val="en-US"/>
        </w:rPr>
      </w:pPr>
      <w:r w:rsidRPr="001D63E1">
        <w:rPr>
          <w:rFonts w:ascii="Times New Roman" w:eastAsia="Times New Roman" w:hAnsi="Times New Roman" w:cs="Times New Roman"/>
          <w:sz w:val="24"/>
          <w:szCs w:val="24"/>
          <w:lang w:val="en-US"/>
        </w:rPr>
        <w:t>After the final wash, microscopic slides were prepared from the pellet and mounted using DPX. The slides were examined under a light microscope at 100× magnification. Photomicrographs of individual diatom species were captured and compared with those observed in the tissue (bone) samples for forensic correlation.</w:t>
      </w:r>
    </w:p>
    <w:p w:rsidR="003D07CA" w:rsidRPr="001D63E1" w:rsidRDefault="003D07CA" w:rsidP="004F0D7B">
      <w:pPr>
        <w:spacing w:line="240" w:lineRule="auto"/>
        <w:jc w:val="both"/>
        <w:rPr>
          <w:rFonts w:ascii="Times New Roman" w:hAnsi="Times New Roman" w:cs="Times New Roman"/>
          <w:b/>
          <w:sz w:val="24"/>
          <w:szCs w:val="24"/>
          <w:bdr w:val="none" w:sz="0" w:space="0" w:color="auto" w:frame="1"/>
        </w:rPr>
      </w:pPr>
      <w:r w:rsidRPr="001D63E1">
        <w:rPr>
          <w:rFonts w:ascii="Times New Roman" w:hAnsi="Times New Roman" w:cs="Times New Roman"/>
          <w:b/>
          <w:sz w:val="24"/>
          <w:szCs w:val="24"/>
          <w:bdr w:val="none" w:sz="0" w:space="0" w:color="auto" w:frame="1"/>
        </w:rPr>
        <w:t>RESULTS:</w:t>
      </w:r>
    </w:p>
    <w:p w:rsidR="00A17E83" w:rsidRPr="00A133E3" w:rsidRDefault="00A17E83" w:rsidP="004F0D7B">
      <w:pPr>
        <w:spacing w:line="240" w:lineRule="auto"/>
        <w:jc w:val="both"/>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Case Study 1</w:t>
      </w:r>
    </w:p>
    <w:p w:rsidR="00A17E83" w:rsidRPr="00517ED5" w:rsidRDefault="00A17E83" w:rsidP="004F0D7B">
      <w:pPr>
        <w:spacing w:line="240" w:lineRule="auto"/>
        <w:jc w:val="both"/>
        <w:rPr>
          <w:rFonts w:ascii="Times New Roman" w:hAnsi="Times New Roman" w:cs="Times New Roman"/>
          <w:sz w:val="24"/>
          <w:szCs w:val="24"/>
        </w:rPr>
      </w:pPr>
      <w:r w:rsidRPr="00A133E3">
        <w:rPr>
          <w:rFonts w:ascii="Times New Roman" w:hAnsi="Times New Roman" w:cs="Times New Roman"/>
          <w:sz w:val="24"/>
          <w:szCs w:val="24"/>
        </w:rPr>
        <w:t xml:space="preserve">The body </w:t>
      </w:r>
      <w:r w:rsidR="00D10506">
        <w:rPr>
          <w:rFonts w:ascii="Times New Roman" w:hAnsi="Times New Roman" w:cs="Times New Roman"/>
          <w:sz w:val="24"/>
          <w:szCs w:val="24"/>
        </w:rPr>
        <w:t>of a</w:t>
      </w:r>
      <w:r w:rsidRPr="00A133E3">
        <w:rPr>
          <w:rFonts w:ascii="Times New Roman" w:hAnsi="Times New Roman" w:cs="Times New Roman"/>
          <w:sz w:val="24"/>
          <w:szCs w:val="24"/>
        </w:rPr>
        <w:t xml:space="preserve"> 40</w:t>
      </w:r>
      <w:r w:rsidR="00D10506">
        <w:rPr>
          <w:rFonts w:ascii="Times New Roman" w:hAnsi="Times New Roman" w:cs="Times New Roman"/>
          <w:sz w:val="24"/>
          <w:szCs w:val="24"/>
        </w:rPr>
        <w:t>-year-old</w:t>
      </w:r>
      <w:r w:rsidRPr="00A133E3">
        <w:rPr>
          <w:rFonts w:ascii="Times New Roman" w:hAnsi="Times New Roman" w:cs="Times New Roman"/>
          <w:sz w:val="24"/>
          <w:szCs w:val="24"/>
        </w:rPr>
        <w:t xml:space="preserve"> male was recovered from </w:t>
      </w:r>
      <w:r>
        <w:rPr>
          <w:rFonts w:ascii="Times New Roman" w:hAnsi="Times New Roman" w:cs="Times New Roman"/>
          <w:sz w:val="24"/>
          <w:szCs w:val="24"/>
        </w:rPr>
        <w:t xml:space="preserve">a </w:t>
      </w:r>
      <w:r w:rsidRPr="00A133E3">
        <w:rPr>
          <w:rFonts w:ascii="Times New Roman" w:hAnsi="Times New Roman" w:cs="Times New Roman"/>
          <w:sz w:val="24"/>
          <w:szCs w:val="24"/>
        </w:rPr>
        <w:t xml:space="preserve">pond by </w:t>
      </w:r>
      <w:r w:rsidR="00D10506">
        <w:rPr>
          <w:rFonts w:ascii="Times New Roman" w:hAnsi="Times New Roman" w:cs="Times New Roman"/>
          <w:sz w:val="24"/>
          <w:szCs w:val="24"/>
        </w:rPr>
        <w:t>police in</w:t>
      </w:r>
      <w:r w:rsidR="00997A5E">
        <w:rPr>
          <w:rFonts w:ascii="Times New Roman" w:hAnsi="Times New Roman" w:cs="Times New Roman"/>
          <w:sz w:val="24"/>
          <w:szCs w:val="24"/>
        </w:rPr>
        <w:t xml:space="preserve"> Punch, Jammu &amp;</w:t>
      </w:r>
      <w:r w:rsidR="00D10506">
        <w:rPr>
          <w:rFonts w:ascii="Times New Roman" w:hAnsi="Times New Roman" w:cs="Times New Roman"/>
          <w:sz w:val="24"/>
          <w:szCs w:val="24"/>
        </w:rPr>
        <w:t xml:space="preserve">Kashmir. </w:t>
      </w:r>
      <w:r>
        <w:rPr>
          <w:rFonts w:ascii="Times New Roman" w:hAnsi="Times New Roman" w:cs="Times New Roman"/>
          <w:sz w:val="24"/>
          <w:szCs w:val="24"/>
        </w:rPr>
        <w:t xml:space="preserve">Autopsy evidence </w:t>
      </w:r>
      <w:r w:rsidR="00D10506">
        <w:rPr>
          <w:rFonts w:ascii="Times New Roman" w:hAnsi="Times New Roman" w:cs="Times New Roman"/>
          <w:sz w:val="24"/>
          <w:szCs w:val="24"/>
        </w:rPr>
        <w:t>samples,</w:t>
      </w:r>
      <w:r>
        <w:rPr>
          <w:rFonts w:ascii="Times New Roman" w:hAnsi="Times New Roman" w:cs="Times New Roman"/>
          <w:sz w:val="24"/>
          <w:szCs w:val="24"/>
        </w:rPr>
        <w:t xml:space="preserve"> along with two reference water samples from where the body was recovered and another from the occurrence of </w:t>
      </w:r>
      <w:r w:rsidR="00D10506">
        <w:rPr>
          <w:rFonts w:ascii="Times New Roman" w:hAnsi="Times New Roman" w:cs="Times New Roman"/>
          <w:sz w:val="24"/>
          <w:szCs w:val="24"/>
        </w:rPr>
        <w:t>the incident,</w:t>
      </w:r>
      <w:r>
        <w:rPr>
          <w:rFonts w:ascii="Times New Roman" w:hAnsi="Times New Roman" w:cs="Times New Roman"/>
          <w:sz w:val="24"/>
          <w:szCs w:val="24"/>
        </w:rPr>
        <w:t xml:space="preserve"> were </w:t>
      </w:r>
      <w:r w:rsidRPr="00A133E3">
        <w:rPr>
          <w:rFonts w:ascii="Times New Roman" w:hAnsi="Times New Roman" w:cs="Times New Roman"/>
          <w:sz w:val="24"/>
          <w:szCs w:val="24"/>
        </w:rPr>
        <w:t xml:space="preserve">sent </w:t>
      </w:r>
      <w:r>
        <w:rPr>
          <w:rFonts w:ascii="Times New Roman" w:hAnsi="Times New Roman" w:cs="Times New Roman"/>
          <w:sz w:val="24"/>
          <w:szCs w:val="24"/>
        </w:rPr>
        <w:t>for diatom examination</w:t>
      </w:r>
      <w:r w:rsidRPr="00A133E3">
        <w:rPr>
          <w:rFonts w:ascii="Times New Roman" w:hAnsi="Times New Roman" w:cs="Times New Roman"/>
          <w:sz w:val="24"/>
          <w:szCs w:val="24"/>
        </w:rPr>
        <w:t xml:space="preserve">.  Microscopic studies of slides prepared from the </w:t>
      </w:r>
      <w:r>
        <w:rPr>
          <w:rFonts w:ascii="Times New Roman" w:hAnsi="Times New Roman" w:cs="Times New Roman"/>
          <w:sz w:val="24"/>
          <w:szCs w:val="24"/>
        </w:rPr>
        <w:t xml:space="preserve">nitric acid extract of </w:t>
      </w:r>
      <w:r w:rsidR="00D10506">
        <w:rPr>
          <w:rFonts w:ascii="Times New Roman" w:hAnsi="Times New Roman" w:cs="Times New Roman"/>
          <w:sz w:val="24"/>
          <w:szCs w:val="24"/>
        </w:rPr>
        <w:t>the sternum</w:t>
      </w:r>
      <w:r>
        <w:rPr>
          <w:rFonts w:ascii="Times New Roman" w:hAnsi="Times New Roman" w:cs="Times New Roman"/>
          <w:sz w:val="24"/>
          <w:szCs w:val="24"/>
        </w:rPr>
        <w:t xml:space="preserve"> and trachea </w:t>
      </w:r>
      <w:r w:rsidRPr="00A133E3">
        <w:rPr>
          <w:rFonts w:ascii="Times New Roman" w:hAnsi="Times New Roman" w:cs="Times New Roman"/>
          <w:sz w:val="24"/>
          <w:szCs w:val="24"/>
        </w:rPr>
        <w:t xml:space="preserve">proved the presence of </w:t>
      </w:r>
      <w:r w:rsidR="00D10506">
        <w:rPr>
          <w:rFonts w:ascii="Times New Roman" w:hAnsi="Times New Roman" w:cs="Times New Roman"/>
          <w:sz w:val="24"/>
          <w:szCs w:val="24"/>
        </w:rPr>
        <w:t>diatoms</w:t>
      </w:r>
      <w:r w:rsidRPr="00A133E3">
        <w:rPr>
          <w:rFonts w:ascii="Times New Roman" w:hAnsi="Times New Roman" w:cs="Times New Roman"/>
          <w:sz w:val="24"/>
          <w:szCs w:val="24"/>
        </w:rPr>
        <w:t xml:space="preserve"> belonging to six genera (</w:t>
      </w:r>
      <w:r w:rsidRPr="00A133E3">
        <w:rPr>
          <w:rFonts w:ascii="Times New Roman" w:hAnsi="Times New Roman" w:cs="Times New Roman"/>
          <w:i/>
          <w:sz w:val="24"/>
          <w:szCs w:val="24"/>
        </w:rPr>
        <w:t>Pinnularia, Cymbella, Achnanthidium, Encyonema, Synedra</w:t>
      </w:r>
      <w:r w:rsidRPr="00A133E3">
        <w:rPr>
          <w:rFonts w:ascii="Times New Roman" w:hAnsi="Times New Roman" w:cs="Times New Roman"/>
          <w:sz w:val="24"/>
          <w:szCs w:val="24"/>
        </w:rPr>
        <w:t xml:space="preserve">, </w:t>
      </w:r>
      <w:r w:rsidR="00D10506">
        <w:rPr>
          <w:rFonts w:ascii="Times New Roman" w:hAnsi="Times New Roman" w:cs="Times New Roman"/>
          <w:i/>
          <w:sz w:val="24"/>
          <w:szCs w:val="24"/>
        </w:rPr>
        <w:t>and Gomphonema). They were identified from</w:t>
      </w:r>
      <w:r w:rsidRPr="00A133E3">
        <w:rPr>
          <w:rFonts w:ascii="Times New Roman" w:hAnsi="Times New Roman" w:cs="Times New Roman"/>
          <w:sz w:val="24"/>
          <w:szCs w:val="24"/>
        </w:rPr>
        <w:t xml:space="preserve"> both the case exhibit samples (sternum and trachea) and two reference water samples (</w:t>
      </w:r>
      <w:r w:rsidRPr="00A133E3">
        <w:rPr>
          <w:rFonts w:ascii="Times New Roman" w:hAnsi="Times New Roman" w:cs="Times New Roman"/>
          <w:i/>
          <w:sz w:val="24"/>
          <w:szCs w:val="24"/>
        </w:rPr>
        <w:t xml:space="preserve">Achnanthidium, Pinnularia, Cymbella, </w:t>
      </w:r>
      <w:r w:rsidR="00D10506">
        <w:rPr>
          <w:rFonts w:ascii="Times New Roman" w:hAnsi="Times New Roman" w:cs="Times New Roman"/>
          <w:i/>
          <w:sz w:val="24"/>
          <w:szCs w:val="24"/>
        </w:rPr>
        <w:t>Gomphonema, and</w:t>
      </w:r>
      <w:r w:rsidRPr="00A133E3">
        <w:rPr>
          <w:rFonts w:ascii="Times New Roman" w:hAnsi="Times New Roman" w:cs="Times New Roman"/>
          <w:i/>
          <w:sz w:val="24"/>
          <w:szCs w:val="24"/>
        </w:rPr>
        <w:t xml:space="preserve"> Synedra)</w:t>
      </w:r>
      <w:r w:rsidRPr="00A133E3">
        <w:rPr>
          <w:rFonts w:ascii="Times New Roman" w:hAnsi="Times New Roman" w:cs="Times New Roman"/>
          <w:sz w:val="24"/>
          <w:szCs w:val="24"/>
        </w:rPr>
        <w:t xml:space="preserve">. </w:t>
      </w:r>
      <w:r w:rsidRPr="003D07CA">
        <w:rPr>
          <w:rFonts w:ascii="Times New Roman" w:hAnsi="Times New Roman" w:cs="Times New Roman"/>
          <w:sz w:val="24"/>
          <w:szCs w:val="24"/>
        </w:rPr>
        <w:t xml:space="preserve">The diatom species recovered from the </w:t>
      </w:r>
      <w:r w:rsidR="00D10506">
        <w:rPr>
          <w:rFonts w:ascii="Times New Roman" w:hAnsi="Times New Roman" w:cs="Times New Roman"/>
          <w:sz w:val="24"/>
          <w:szCs w:val="24"/>
        </w:rPr>
        <w:t>tissues of the</w:t>
      </w:r>
      <w:r w:rsidRPr="003D07CA">
        <w:rPr>
          <w:rFonts w:ascii="Times New Roman" w:hAnsi="Times New Roman" w:cs="Times New Roman"/>
          <w:sz w:val="24"/>
          <w:szCs w:val="24"/>
        </w:rPr>
        <w:t xml:space="preserve"> sternum and trachea were found to be morphologically</w:t>
      </w:r>
      <w:r w:rsidRPr="00A133E3">
        <w:rPr>
          <w:rFonts w:ascii="Times New Roman" w:hAnsi="Times New Roman" w:cs="Times New Roman"/>
          <w:sz w:val="24"/>
          <w:szCs w:val="24"/>
        </w:rPr>
        <w:t xml:space="preserve"> similar and consistent with diatoms recovered from the reference water sample. Drowning was the </w:t>
      </w:r>
      <w:r>
        <w:rPr>
          <w:rFonts w:ascii="Times New Roman" w:hAnsi="Times New Roman" w:cs="Times New Roman"/>
          <w:sz w:val="24"/>
          <w:szCs w:val="24"/>
        </w:rPr>
        <w:t xml:space="preserve">most probable </w:t>
      </w:r>
      <w:r w:rsidRPr="00A133E3">
        <w:rPr>
          <w:rFonts w:ascii="Times New Roman" w:hAnsi="Times New Roman" w:cs="Times New Roman"/>
          <w:sz w:val="24"/>
          <w:szCs w:val="24"/>
        </w:rPr>
        <w:t>cause of death.</w:t>
      </w:r>
    </w:p>
    <w:p w:rsidR="00A17E83" w:rsidRPr="00A133E3" w:rsidRDefault="00A17E83" w:rsidP="004F0D7B">
      <w:pPr>
        <w:spacing w:line="240" w:lineRule="auto"/>
        <w:jc w:val="both"/>
        <w:rPr>
          <w:rFonts w:ascii="Times New Roman" w:hAnsi="Times New Roman" w:cs="Times New Roman"/>
          <w:b/>
          <w:sz w:val="24"/>
          <w:szCs w:val="24"/>
        </w:rPr>
      </w:pPr>
      <w:r>
        <w:rPr>
          <w:rFonts w:ascii="Times New Roman" w:hAnsi="Times New Roman" w:cs="Times New Roman"/>
          <w:b/>
          <w:sz w:val="24"/>
          <w:szCs w:val="24"/>
        </w:rPr>
        <w:t>Case Study 2</w:t>
      </w:r>
    </w:p>
    <w:p w:rsidR="00A17E83" w:rsidRDefault="00A17E83" w:rsidP="004F0D7B">
      <w:pPr>
        <w:spacing w:line="240" w:lineRule="auto"/>
        <w:jc w:val="both"/>
        <w:rPr>
          <w:rFonts w:ascii="Times New Roman" w:hAnsi="Times New Roman" w:cs="Times New Roman"/>
          <w:sz w:val="24"/>
          <w:szCs w:val="24"/>
        </w:rPr>
      </w:pPr>
      <w:r w:rsidRPr="00A133E3">
        <w:rPr>
          <w:rFonts w:ascii="Times New Roman" w:hAnsi="Times New Roman" w:cs="Times New Roman"/>
          <w:sz w:val="24"/>
          <w:szCs w:val="24"/>
        </w:rPr>
        <w:t xml:space="preserve">The body </w:t>
      </w:r>
      <w:r w:rsidR="00D10506">
        <w:rPr>
          <w:rFonts w:ascii="Times New Roman" w:hAnsi="Times New Roman" w:cs="Times New Roman"/>
          <w:sz w:val="24"/>
          <w:szCs w:val="24"/>
        </w:rPr>
        <w:t>of a</w:t>
      </w:r>
      <w:r w:rsidRPr="00A133E3">
        <w:rPr>
          <w:rFonts w:ascii="Times New Roman" w:hAnsi="Times New Roman" w:cs="Times New Roman"/>
          <w:sz w:val="24"/>
          <w:szCs w:val="24"/>
        </w:rPr>
        <w:t xml:space="preserve"> 28</w:t>
      </w:r>
      <w:r w:rsidR="00D10506">
        <w:rPr>
          <w:rFonts w:ascii="Times New Roman" w:hAnsi="Times New Roman" w:cs="Times New Roman"/>
          <w:sz w:val="24"/>
          <w:szCs w:val="24"/>
        </w:rPr>
        <w:t>-year-old</w:t>
      </w:r>
      <w:r w:rsidRPr="00A133E3">
        <w:rPr>
          <w:rFonts w:ascii="Times New Roman" w:hAnsi="Times New Roman" w:cs="Times New Roman"/>
          <w:sz w:val="24"/>
          <w:szCs w:val="24"/>
        </w:rPr>
        <w:t xml:space="preserve"> male was recovered from </w:t>
      </w:r>
      <w:r w:rsidR="00D10506">
        <w:rPr>
          <w:rFonts w:ascii="Times New Roman" w:hAnsi="Times New Roman" w:cs="Times New Roman"/>
          <w:sz w:val="24"/>
          <w:szCs w:val="24"/>
        </w:rPr>
        <w:t>a lake</w:t>
      </w:r>
      <w:r w:rsidR="00997A5E">
        <w:rPr>
          <w:rFonts w:ascii="Times New Roman" w:hAnsi="Times New Roman" w:cs="Times New Roman"/>
          <w:sz w:val="24"/>
          <w:szCs w:val="24"/>
        </w:rPr>
        <w:t xml:space="preserve"> in Chandigarh</w:t>
      </w:r>
      <w:r w:rsidRPr="00A133E3">
        <w:rPr>
          <w:rFonts w:ascii="Times New Roman" w:hAnsi="Times New Roman" w:cs="Times New Roman"/>
          <w:sz w:val="24"/>
          <w:szCs w:val="24"/>
        </w:rPr>
        <w:t xml:space="preserve">. After post-mortem examination, </w:t>
      </w:r>
      <w:r w:rsidR="00D10506">
        <w:rPr>
          <w:rFonts w:ascii="Times New Roman" w:hAnsi="Times New Roman" w:cs="Times New Roman"/>
          <w:sz w:val="24"/>
          <w:szCs w:val="24"/>
        </w:rPr>
        <w:t>the sternum</w:t>
      </w:r>
      <w:r w:rsidRPr="00A133E3">
        <w:rPr>
          <w:rFonts w:ascii="Times New Roman" w:hAnsi="Times New Roman" w:cs="Times New Roman"/>
          <w:sz w:val="24"/>
          <w:szCs w:val="24"/>
        </w:rPr>
        <w:t xml:space="preserve"> bone and water reference sample</w:t>
      </w:r>
      <w:r>
        <w:rPr>
          <w:rFonts w:ascii="Times New Roman" w:hAnsi="Times New Roman" w:cs="Times New Roman"/>
          <w:sz w:val="24"/>
          <w:szCs w:val="24"/>
        </w:rPr>
        <w:t xml:space="preserve">s were </w:t>
      </w:r>
      <w:r w:rsidRPr="00A133E3">
        <w:rPr>
          <w:rFonts w:ascii="Times New Roman" w:hAnsi="Times New Roman" w:cs="Times New Roman"/>
          <w:sz w:val="24"/>
          <w:szCs w:val="24"/>
        </w:rPr>
        <w:t xml:space="preserve">sent </w:t>
      </w:r>
      <w:r>
        <w:rPr>
          <w:rFonts w:ascii="Times New Roman" w:hAnsi="Times New Roman" w:cs="Times New Roman"/>
          <w:sz w:val="24"/>
          <w:szCs w:val="24"/>
        </w:rPr>
        <w:t>for diatom examination</w:t>
      </w:r>
      <w:r w:rsidRPr="00A133E3">
        <w:rPr>
          <w:rFonts w:ascii="Times New Roman" w:hAnsi="Times New Roman" w:cs="Times New Roman"/>
          <w:sz w:val="24"/>
          <w:szCs w:val="24"/>
        </w:rPr>
        <w:t xml:space="preserve">. Nitric acid extract of </w:t>
      </w:r>
      <w:r w:rsidR="00D10506">
        <w:rPr>
          <w:rFonts w:ascii="Times New Roman" w:hAnsi="Times New Roman" w:cs="Times New Roman"/>
          <w:sz w:val="24"/>
          <w:szCs w:val="24"/>
        </w:rPr>
        <w:t>the sternum</w:t>
      </w:r>
      <w:r w:rsidRPr="00A133E3">
        <w:rPr>
          <w:rFonts w:ascii="Times New Roman" w:hAnsi="Times New Roman" w:cs="Times New Roman"/>
          <w:sz w:val="24"/>
          <w:szCs w:val="24"/>
        </w:rPr>
        <w:t xml:space="preserve"> showed the presence of </w:t>
      </w:r>
      <w:r w:rsidR="00D10506">
        <w:rPr>
          <w:rFonts w:ascii="Times New Roman" w:hAnsi="Times New Roman" w:cs="Times New Roman"/>
          <w:sz w:val="24"/>
          <w:szCs w:val="24"/>
        </w:rPr>
        <w:t>diatoms</w:t>
      </w:r>
      <w:r w:rsidRPr="00A133E3">
        <w:rPr>
          <w:rFonts w:ascii="Times New Roman" w:hAnsi="Times New Roman" w:cs="Times New Roman"/>
          <w:sz w:val="24"/>
          <w:szCs w:val="24"/>
        </w:rPr>
        <w:t xml:space="preserve"> belonging to six genera </w:t>
      </w:r>
      <w:r w:rsidRPr="00A133E3">
        <w:rPr>
          <w:rFonts w:ascii="Times New Roman" w:hAnsi="Times New Roman" w:cs="Times New Roman"/>
          <w:i/>
          <w:sz w:val="24"/>
          <w:szCs w:val="24"/>
        </w:rPr>
        <w:t>(</w:t>
      </w:r>
      <w:r>
        <w:rPr>
          <w:rFonts w:ascii="Times New Roman" w:hAnsi="Times New Roman" w:cs="Times New Roman"/>
          <w:i/>
          <w:sz w:val="24"/>
          <w:szCs w:val="24"/>
        </w:rPr>
        <w:t>Navicula, C</w:t>
      </w:r>
      <w:r w:rsidRPr="00A133E3">
        <w:rPr>
          <w:rFonts w:ascii="Times New Roman" w:hAnsi="Times New Roman" w:cs="Times New Roman"/>
          <w:i/>
          <w:sz w:val="24"/>
          <w:szCs w:val="24"/>
        </w:rPr>
        <w:t>yclotellameneghiniana, Amphipleura</w:t>
      </w:r>
      <w:r>
        <w:rPr>
          <w:rFonts w:ascii="Times New Roman" w:hAnsi="Times New Roman" w:cs="Times New Roman"/>
          <w:i/>
          <w:sz w:val="24"/>
          <w:szCs w:val="24"/>
        </w:rPr>
        <w:t xml:space="preserve">, </w:t>
      </w:r>
      <w:r w:rsidRPr="00A133E3">
        <w:rPr>
          <w:rFonts w:ascii="Times New Roman" w:hAnsi="Times New Roman" w:cs="Times New Roman"/>
          <w:i/>
          <w:sz w:val="24"/>
          <w:szCs w:val="24"/>
        </w:rPr>
        <w:t xml:space="preserve">Pellucidaelliptica, Pinnularia, </w:t>
      </w:r>
      <w:r w:rsidR="00D10506">
        <w:rPr>
          <w:rFonts w:ascii="Times New Roman" w:hAnsi="Times New Roman" w:cs="Times New Roman"/>
          <w:i/>
          <w:sz w:val="24"/>
          <w:szCs w:val="24"/>
        </w:rPr>
        <w:t>Melosira, and</w:t>
      </w:r>
      <w:r w:rsidRPr="00A133E3">
        <w:rPr>
          <w:rFonts w:ascii="Times New Roman" w:hAnsi="Times New Roman" w:cs="Times New Roman"/>
          <w:i/>
          <w:sz w:val="24"/>
          <w:szCs w:val="24"/>
        </w:rPr>
        <w:t xml:space="preserve"> Cymbellaperfossilis).</w:t>
      </w:r>
      <w:r w:rsidRPr="00A133E3">
        <w:rPr>
          <w:rFonts w:ascii="Times New Roman" w:hAnsi="Times New Roman" w:cs="Times New Roman"/>
          <w:sz w:val="24"/>
          <w:szCs w:val="24"/>
        </w:rPr>
        <w:t xml:space="preserve"> The diatom species recovered from the piece of </w:t>
      </w:r>
      <w:r>
        <w:rPr>
          <w:rFonts w:ascii="Times New Roman" w:hAnsi="Times New Roman" w:cs="Times New Roman"/>
          <w:sz w:val="24"/>
          <w:szCs w:val="24"/>
        </w:rPr>
        <w:t>the sternum bone</w:t>
      </w:r>
      <w:r w:rsidRPr="00A133E3">
        <w:rPr>
          <w:rFonts w:ascii="Times New Roman" w:hAnsi="Times New Roman" w:cs="Times New Roman"/>
          <w:sz w:val="24"/>
          <w:szCs w:val="24"/>
        </w:rPr>
        <w:t xml:space="preserve"> were found to be morphologically similar and consistent with diatoms recovered from the reference water sample. Drowning was the </w:t>
      </w:r>
      <w:r>
        <w:rPr>
          <w:rFonts w:ascii="Times New Roman" w:hAnsi="Times New Roman" w:cs="Times New Roman"/>
          <w:sz w:val="24"/>
          <w:szCs w:val="24"/>
        </w:rPr>
        <w:t xml:space="preserve">most probable </w:t>
      </w:r>
      <w:r w:rsidRPr="00A133E3">
        <w:rPr>
          <w:rFonts w:ascii="Times New Roman" w:hAnsi="Times New Roman" w:cs="Times New Roman"/>
          <w:sz w:val="24"/>
          <w:szCs w:val="24"/>
        </w:rPr>
        <w:t>cause of death.</w:t>
      </w:r>
    </w:p>
    <w:p w:rsidR="00A17E83" w:rsidRPr="00A133E3" w:rsidRDefault="00A17E83" w:rsidP="004F0D7B">
      <w:pPr>
        <w:spacing w:line="240" w:lineRule="auto"/>
        <w:jc w:val="both"/>
        <w:rPr>
          <w:rFonts w:ascii="Times New Roman" w:hAnsi="Times New Roman" w:cs="Times New Roman"/>
          <w:b/>
          <w:sz w:val="24"/>
          <w:szCs w:val="24"/>
        </w:rPr>
      </w:pPr>
      <w:r>
        <w:rPr>
          <w:rFonts w:ascii="Times New Roman" w:hAnsi="Times New Roman" w:cs="Times New Roman"/>
          <w:b/>
          <w:sz w:val="24"/>
          <w:szCs w:val="24"/>
        </w:rPr>
        <w:t>Case Study 3</w:t>
      </w:r>
    </w:p>
    <w:p w:rsidR="00A17E83" w:rsidRDefault="00A17E83" w:rsidP="004F0D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body </w:t>
      </w:r>
      <w:r w:rsidR="00D10506">
        <w:rPr>
          <w:rFonts w:ascii="Times New Roman" w:hAnsi="Times New Roman" w:cs="Times New Roman"/>
          <w:sz w:val="24"/>
          <w:szCs w:val="24"/>
        </w:rPr>
        <w:t>of a</w:t>
      </w:r>
      <w:r>
        <w:rPr>
          <w:rFonts w:ascii="Times New Roman" w:hAnsi="Times New Roman" w:cs="Times New Roman"/>
          <w:sz w:val="24"/>
          <w:szCs w:val="24"/>
        </w:rPr>
        <w:t xml:space="preserve"> 38</w:t>
      </w:r>
      <w:r w:rsidR="00D10506">
        <w:rPr>
          <w:rFonts w:ascii="Times New Roman" w:hAnsi="Times New Roman" w:cs="Times New Roman"/>
          <w:sz w:val="24"/>
          <w:szCs w:val="24"/>
        </w:rPr>
        <w:t>-year-oldmale was</w:t>
      </w:r>
      <w:r w:rsidR="007A1593">
        <w:rPr>
          <w:rFonts w:ascii="Times New Roman" w:hAnsi="Times New Roman" w:cs="Times New Roman"/>
          <w:sz w:val="24"/>
          <w:szCs w:val="24"/>
        </w:rPr>
        <w:t xml:space="preserve"> recovered fromthe water tank in Rangat,Middle And</w:t>
      </w:r>
      <w:r w:rsidR="00BE0E1E">
        <w:rPr>
          <w:rFonts w:ascii="Times New Roman" w:hAnsi="Times New Roman" w:cs="Times New Roman"/>
          <w:sz w:val="24"/>
          <w:szCs w:val="24"/>
        </w:rPr>
        <w:t xml:space="preserve">amans, </w:t>
      </w:r>
      <w:r>
        <w:rPr>
          <w:rFonts w:ascii="Times New Roman" w:hAnsi="Times New Roman" w:cs="Times New Roman"/>
          <w:sz w:val="24"/>
          <w:szCs w:val="24"/>
        </w:rPr>
        <w:t>Andaman and Nicobar</w:t>
      </w:r>
      <w:r w:rsidR="007A1593">
        <w:rPr>
          <w:rFonts w:ascii="Times New Roman" w:hAnsi="Times New Roman" w:cs="Times New Roman"/>
          <w:sz w:val="24"/>
          <w:szCs w:val="24"/>
        </w:rPr>
        <w:t xml:space="preserve"> Islands</w:t>
      </w:r>
      <w:r w:rsidR="00BE0E1E">
        <w:rPr>
          <w:rFonts w:ascii="Times New Roman" w:hAnsi="Times New Roman" w:cs="Times New Roman"/>
          <w:sz w:val="24"/>
          <w:szCs w:val="24"/>
        </w:rPr>
        <w:t>, India</w:t>
      </w:r>
      <w:r w:rsidRPr="00A133E3">
        <w:rPr>
          <w:rFonts w:ascii="Times New Roman" w:hAnsi="Times New Roman" w:cs="Times New Roman"/>
          <w:sz w:val="24"/>
          <w:szCs w:val="24"/>
        </w:rPr>
        <w:t xml:space="preserve">. </w:t>
      </w:r>
      <w:r>
        <w:rPr>
          <w:rFonts w:ascii="Times New Roman" w:hAnsi="Times New Roman" w:cs="Times New Roman"/>
          <w:sz w:val="24"/>
          <w:szCs w:val="24"/>
        </w:rPr>
        <w:t>The b</w:t>
      </w:r>
      <w:r w:rsidRPr="00A133E3">
        <w:rPr>
          <w:rFonts w:ascii="Times New Roman" w:hAnsi="Times New Roman" w:cs="Times New Roman"/>
          <w:sz w:val="24"/>
          <w:szCs w:val="24"/>
        </w:rPr>
        <w:t xml:space="preserve">ody </w:t>
      </w:r>
      <w:r>
        <w:rPr>
          <w:rFonts w:ascii="Times New Roman" w:hAnsi="Times New Roman" w:cs="Times New Roman"/>
          <w:sz w:val="24"/>
          <w:szCs w:val="24"/>
        </w:rPr>
        <w:t xml:space="preserve">was </w:t>
      </w:r>
      <w:r w:rsidRPr="00A133E3">
        <w:rPr>
          <w:rFonts w:ascii="Times New Roman" w:hAnsi="Times New Roman" w:cs="Times New Roman"/>
          <w:sz w:val="24"/>
          <w:szCs w:val="24"/>
        </w:rPr>
        <w:t>sent to the civil hospital by police</w:t>
      </w:r>
      <w:r>
        <w:rPr>
          <w:rFonts w:ascii="Times New Roman" w:hAnsi="Times New Roman" w:cs="Times New Roman"/>
          <w:sz w:val="24"/>
          <w:szCs w:val="24"/>
        </w:rPr>
        <w:t xml:space="preserve">. </w:t>
      </w:r>
      <w:r w:rsidRPr="00A133E3">
        <w:rPr>
          <w:rFonts w:ascii="Times New Roman" w:hAnsi="Times New Roman" w:cs="Times New Roman"/>
          <w:sz w:val="24"/>
          <w:szCs w:val="24"/>
        </w:rPr>
        <w:t xml:space="preserve">After </w:t>
      </w:r>
      <w:r w:rsidR="00D10506">
        <w:rPr>
          <w:rFonts w:ascii="Times New Roman" w:hAnsi="Times New Roman" w:cs="Times New Roman"/>
          <w:sz w:val="24"/>
          <w:szCs w:val="24"/>
        </w:rPr>
        <w:t>the post-mortem, the</w:t>
      </w:r>
      <w:r w:rsidRPr="00A133E3">
        <w:rPr>
          <w:rFonts w:ascii="Times New Roman" w:hAnsi="Times New Roman" w:cs="Times New Roman"/>
          <w:sz w:val="24"/>
          <w:szCs w:val="24"/>
        </w:rPr>
        <w:t xml:space="preserve"> sternum bone </w:t>
      </w:r>
      <w:r>
        <w:rPr>
          <w:rFonts w:ascii="Times New Roman" w:hAnsi="Times New Roman" w:cs="Times New Roman"/>
          <w:sz w:val="24"/>
          <w:szCs w:val="24"/>
        </w:rPr>
        <w:t xml:space="preserve">was </w:t>
      </w:r>
      <w:r w:rsidRPr="00A133E3">
        <w:rPr>
          <w:rFonts w:ascii="Times New Roman" w:hAnsi="Times New Roman" w:cs="Times New Roman"/>
          <w:sz w:val="24"/>
          <w:szCs w:val="24"/>
        </w:rPr>
        <w:t xml:space="preserve">sent </w:t>
      </w:r>
      <w:r>
        <w:rPr>
          <w:rFonts w:ascii="Times New Roman" w:hAnsi="Times New Roman" w:cs="Times New Roman"/>
          <w:sz w:val="24"/>
          <w:szCs w:val="24"/>
        </w:rPr>
        <w:t xml:space="preserve">for diatom examination </w:t>
      </w:r>
      <w:r w:rsidRPr="00A133E3">
        <w:rPr>
          <w:rFonts w:ascii="Times New Roman" w:hAnsi="Times New Roman" w:cs="Times New Roman"/>
          <w:sz w:val="24"/>
          <w:szCs w:val="24"/>
        </w:rPr>
        <w:t xml:space="preserve">along with </w:t>
      </w:r>
      <w:r>
        <w:rPr>
          <w:rFonts w:ascii="Times New Roman" w:hAnsi="Times New Roman" w:cs="Times New Roman"/>
          <w:sz w:val="24"/>
          <w:szCs w:val="24"/>
        </w:rPr>
        <w:t xml:space="preserve">a </w:t>
      </w:r>
      <w:r w:rsidRPr="00A133E3">
        <w:rPr>
          <w:rFonts w:ascii="Times New Roman" w:hAnsi="Times New Roman" w:cs="Times New Roman"/>
          <w:sz w:val="24"/>
          <w:szCs w:val="24"/>
        </w:rPr>
        <w:t>water reference sample</w:t>
      </w:r>
      <w:r>
        <w:rPr>
          <w:rFonts w:ascii="Times New Roman" w:hAnsi="Times New Roman" w:cs="Times New Roman"/>
          <w:sz w:val="24"/>
          <w:szCs w:val="24"/>
        </w:rPr>
        <w:t xml:space="preserve"> from</w:t>
      </w:r>
      <w:r w:rsidRPr="00A133E3">
        <w:rPr>
          <w:rFonts w:ascii="Times New Roman" w:hAnsi="Times New Roman" w:cs="Times New Roman"/>
          <w:sz w:val="24"/>
          <w:szCs w:val="24"/>
        </w:rPr>
        <w:t xml:space="preserve"> where </w:t>
      </w:r>
      <w:r>
        <w:rPr>
          <w:rFonts w:ascii="Times New Roman" w:hAnsi="Times New Roman" w:cs="Times New Roman"/>
          <w:sz w:val="24"/>
          <w:szCs w:val="24"/>
        </w:rPr>
        <w:t xml:space="preserve">the </w:t>
      </w:r>
      <w:r w:rsidRPr="00A133E3">
        <w:rPr>
          <w:rFonts w:ascii="Times New Roman" w:hAnsi="Times New Roman" w:cs="Times New Roman"/>
          <w:sz w:val="24"/>
          <w:szCs w:val="24"/>
        </w:rPr>
        <w:t xml:space="preserve">body </w:t>
      </w:r>
      <w:r>
        <w:rPr>
          <w:rFonts w:ascii="Times New Roman" w:hAnsi="Times New Roman" w:cs="Times New Roman"/>
          <w:sz w:val="24"/>
          <w:szCs w:val="24"/>
        </w:rPr>
        <w:t xml:space="preserve">was </w:t>
      </w:r>
      <w:r w:rsidRPr="00A133E3">
        <w:rPr>
          <w:rFonts w:ascii="Times New Roman" w:hAnsi="Times New Roman" w:cs="Times New Roman"/>
          <w:sz w:val="24"/>
          <w:szCs w:val="24"/>
        </w:rPr>
        <w:t xml:space="preserve">recovered for comparison. Microscopic </w:t>
      </w:r>
      <w:r w:rsidRPr="00A133E3">
        <w:rPr>
          <w:rFonts w:ascii="Times New Roman" w:hAnsi="Times New Roman" w:cs="Times New Roman"/>
          <w:sz w:val="24"/>
          <w:szCs w:val="24"/>
        </w:rPr>
        <w:lastRenderedPageBreak/>
        <w:t>studies of slides prepared from the nitric acid ex</w:t>
      </w:r>
      <w:r>
        <w:rPr>
          <w:rFonts w:ascii="Times New Roman" w:hAnsi="Times New Roman" w:cs="Times New Roman"/>
          <w:sz w:val="24"/>
          <w:szCs w:val="24"/>
        </w:rPr>
        <w:t xml:space="preserve">tract of sternum </w:t>
      </w:r>
      <w:r w:rsidRPr="00A133E3">
        <w:rPr>
          <w:rFonts w:ascii="Times New Roman" w:hAnsi="Times New Roman" w:cs="Times New Roman"/>
          <w:sz w:val="24"/>
          <w:szCs w:val="24"/>
        </w:rPr>
        <w:t xml:space="preserve">proved the presence of </w:t>
      </w:r>
      <w:r w:rsidR="00D10506">
        <w:rPr>
          <w:rFonts w:ascii="Times New Roman" w:hAnsi="Times New Roman" w:cs="Times New Roman"/>
          <w:sz w:val="24"/>
          <w:szCs w:val="24"/>
        </w:rPr>
        <w:t>diatoms</w:t>
      </w:r>
      <w:r w:rsidRPr="00A133E3">
        <w:rPr>
          <w:rFonts w:ascii="Times New Roman" w:hAnsi="Times New Roman" w:cs="Times New Roman"/>
          <w:sz w:val="24"/>
          <w:szCs w:val="24"/>
        </w:rPr>
        <w:t xml:space="preserve"> belonging to six genera</w:t>
      </w:r>
      <w:r w:rsidRPr="00A133E3">
        <w:rPr>
          <w:rFonts w:ascii="Times New Roman" w:hAnsi="Times New Roman" w:cs="Times New Roman"/>
          <w:i/>
          <w:sz w:val="24"/>
          <w:szCs w:val="24"/>
        </w:rPr>
        <w:t>(Navicula, Hannaeaarcus, Nitzschia</w:t>
      </w:r>
      <w:r>
        <w:rPr>
          <w:rFonts w:ascii="Times New Roman" w:hAnsi="Times New Roman" w:cs="Times New Roman"/>
          <w:i/>
          <w:sz w:val="24"/>
          <w:szCs w:val="24"/>
        </w:rPr>
        <w:t xml:space="preserve"> longissimi, Pinnularia</w:t>
      </w:r>
      <w:r w:rsidRPr="00A133E3">
        <w:rPr>
          <w:rFonts w:ascii="Times New Roman" w:hAnsi="Times New Roman" w:cs="Times New Roman"/>
          <w:i/>
          <w:sz w:val="24"/>
          <w:szCs w:val="24"/>
        </w:rPr>
        <w:t>, Amphipleura</w:t>
      </w:r>
      <w:r w:rsidRPr="00A133E3">
        <w:rPr>
          <w:rFonts w:ascii="Times New Roman" w:hAnsi="Times New Roman" w:cs="Times New Roman"/>
          <w:i/>
          <w:sz w:val="24"/>
          <w:szCs w:val="24"/>
          <w:bdr w:val="none" w:sz="0" w:space="0" w:color="auto" w:frame="1"/>
        </w:rPr>
        <w:t xml:space="preserve">). </w:t>
      </w:r>
      <w:r w:rsidRPr="00A133E3">
        <w:rPr>
          <w:rFonts w:ascii="Times New Roman" w:hAnsi="Times New Roman" w:cs="Times New Roman"/>
          <w:sz w:val="24"/>
          <w:szCs w:val="24"/>
        </w:rPr>
        <w:t xml:space="preserve">The diatom species recovered from the piece of sternum were found to be morphologically similar and consistent with diatoms recovered from the reference water sample. Drowning was the </w:t>
      </w:r>
      <w:r>
        <w:rPr>
          <w:rFonts w:ascii="Times New Roman" w:hAnsi="Times New Roman" w:cs="Times New Roman"/>
          <w:sz w:val="24"/>
          <w:szCs w:val="24"/>
        </w:rPr>
        <w:t xml:space="preserve">most probable </w:t>
      </w:r>
      <w:r w:rsidRPr="00A133E3">
        <w:rPr>
          <w:rFonts w:ascii="Times New Roman" w:hAnsi="Times New Roman" w:cs="Times New Roman"/>
          <w:sz w:val="24"/>
          <w:szCs w:val="24"/>
        </w:rPr>
        <w:t>cause of death.</w:t>
      </w:r>
    </w:p>
    <w:p w:rsidR="00A17E83" w:rsidRDefault="00A17E83" w:rsidP="004F0D7B">
      <w:pPr>
        <w:spacing w:line="240" w:lineRule="auto"/>
        <w:jc w:val="both"/>
        <w:rPr>
          <w:rFonts w:ascii="Times New Roman" w:hAnsi="Times New Roman" w:cs="Times New Roman"/>
          <w:b/>
          <w:sz w:val="24"/>
          <w:szCs w:val="24"/>
        </w:rPr>
      </w:pPr>
      <w:r>
        <w:rPr>
          <w:rFonts w:ascii="Times New Roman" w:hAnsi="Times New Roman" w:cs="Times New Roman"/>
          <w:b/>
          <w:sz w:val="24"/>
          <w:szCs w:val="24"/>
        </w:rPr>
        <w:t>Case Study 4</w:t>
      </w:r>
    </w:p>
    <w:p w:rsidR="00A17E83" w:rsidRPr="0058233F" w:rsidRDefault="00A17E83" w:rsidP="004F0D7B">
      <w:pPr>
        <w:spacing w:line="240" w:lineRule="auto"/>
        <w:jc w:val="both"/>
        <w:rPr>
          <w:rFonts w:ascii="Times New Roman" w:hAnsi="Times New Roman" w:cs="Times New Roman"/>
          <w:szCs w:val="30"/>
        </w:rPr>
      </w:pPr>
      <w:r>
        <w:rPr>
          <w:rFonts w:ascii="Times New Roman" w:hAnsi="Times New Roman" w:cs="Times New Roman"/>
          <w:sz w:val="24"/>
          <w:szCs w:val="24"/>
          <w:bdr w:val="none" w:sz="0" w:space="0" w:color="auto" w:frame="1"/>
        </w:rPr>
        <w:t xml:space="preserve">The putrefied body of </w:t>
      </w:r>
      <w:r w:rsidR="00D10506">
        <w:rPr>
          <w:rFonts w:ascii="Times New Roman" w:hAnsi="Times New Roman" w:cs="Times New Roman"/>
          <w:sz w:val="24"/>
          <w:szCs w:val="24"/>
          <w:bdr w:val="none" w:sz="0" w:space="0" w:color="auto" w:frame="1"/>
        </w:rPr>
        <w:t xml:space="preserve">a </w:t>
      </w:r>
      <w:r>
        <w:rPr>
          <w:rFonts w:ascii="Times New Roman" w:hAnsi="Times New Roman" w:cs="Times New Roman"/>
          <w:sz w:val="24"/>
          <w:szCs w:val="24"/>
          <w:bdr w:val="none" w:sz="0" w:space="0" w:color="auto" w:frame="1"/>
        </w:rPr>
        <w:t>34</w:t>
      </w:r>
      <w:r w:rsidR="00D10506">
        <w:rPr>
          <w:rFonts w:ascii="Times New Roman" w:hAnsi="Times New Roman" w:cs="Times New Roman"/>
          <w:sz w:val="24"/>
          <w:szCs w:val="24"/>
          <w:bdr w:val="none" w:sz="0" w:space="0" w:color="auto" w:frame="1"/>
        </w:rPr>
        <w:t>-year-old</w:t>
      </w:r>
      <w:r w:rsidRPr="00517ED5">
        <w:rPr>
          <w:rFonts w:ascii="Times New Roman" w:hAnsi="Times New Roman" w:cs="Times New Roman"/>
          <w:sz w:val="24"/>
          <w:szCs w:val="24"/>
          <w:bdr w:val="none" w:sz="0" w:space="0" w:color="auto" w:frame="1"/>
        </w:rPr>
        <w:t xml:space="preserve"> married female was found </w:t>
      </w:r>
      <w:r>
        <w:rPr>
          <w:rFonts w:ascii="Times New Roman" w:hAnsi="Times New Roman" w:cs="Times New Roman"/>
          <w:sz w:val="24"/>
          <w:szCs w:val="24"/>
          <w:bdr w:val="none" w:sz="0" w:space="0" w:color="auto" w:frame="1"/>
        </w:rPr>
        <w:t>hanging</w:t>
      </w:r>
      <w:r w:rsidRPr="00517ED5">
        <w:rPr>
          <w:rFonts w:ascii="Times New Roman" w:hAnsi="Times New Roman" w:cs="Times New Roman"/>
          <w:sz w:val="24"/>
          <w:szCs w:val="24"/>
          <w:bdr w:val="none" w:sz="0" w:space="0" w:color="auto" w:frame="1"/>
        </w:rPr>
        <w:t xml:space="preserve"> with </w:t>
      </w:r>
      <w:r>
        <w:rPr>
          <w:rFonts w:ascii="Times New Roman" w:hAnsi="Times New Roman" w:cs="Times New Roman"/>
          <w:sz w:val="24"/>
          <w:szCs w:val="24"/>
          <w:bdr w:val="none" w:sz="0" w:space="0" w:color="auto" w:frame="1"/>
        </w:rPr>
        <w:t xml:space="preserve">a rope in </w:t>
      </w:r>
      <w:r w:rsidR="00D10506">
        <w:rPr>
          <w:rFonts w:ascii="Times New Roman" w:hAnsi="Times New Roman" w:cs="Times New Roman"/>
          <w:sz w:val="24"/>
          <w:szCs w:val="24"/>
          <w:bdr w:val="none" w:sz="0" w:space="0" w:color="auto" w:frame="1"/>
        </w:rPr>
        <w:t>a well</w:t>
      </w:r>
      <w:r>
        <w:rPr>
          <w:rFonts w:ascii="Times New Roman" w:hAnsi="Times New Roman" w:cs="Times New Roman"/>
          <w:sz w:val="24"/>
          <w:szCs w:val="24"/>
          <w:bdr w:val="none" w:sz="0" w:space="0" w:color="auto" w:frame="1"/>
        </w:rPr>
        <w:t xml:space="preserve"> and was recovered by police authorities of </w:t>
      </w:r>
      <w:r w:rsidRPr="00592836">
        <w:rPr>
          <w:rFonts w:ascii="Times New Roman" w:hAnsi="Times New Roman" w:cs="Times New Roman"/>
          <w:sz w:val="24"/>
          <w:szCs w:val="24"/>
          <w:bdr w:val="none" w:sz="0" w:space="0" w:color="auto" w:frame="1"/>
        </w:rPr>
        <w:t>K</w:t>
      </w:r>
      <w:r>
        <w:rPr>
          <w:rFonts w:ascii="Times New Roman" w:hAnsi="Times New Roman" w:cs="Times New Roman"/>
          <w:sz w:val="24"/>
          <w:szCs w:val="24"/>
          <w:bdr w:val="none" w:sz="0" w:space="0" w:color="auto" w:frame="1"/>
        </w:rPr>
        <w:t>anke</w:t>
      </w:r>
      <w:r w:rsidR="00BE0E1E">
        <w:rPr>
          <w:rFonts w:ascii="Times New Roman" w:hAnsi="Times New Roman" w:cs="Times New Roman"/>
          <w:sz w:val="24"/>
          <w:szCs w:val="24"/>
          <w:bdr w:val="none" w:sz="0" w:space="0" w:color="auto" w:frame="1"/>
        </w:rPr>
        <w:t xml:space="preserve">, </w:t>
      </w:r>
      <w:r w:rsidRPr="00592836">
        <w:rPr>
          <w:rFonts w:ascii="Times New Roman" w:hAnsi="Times New Roman" w:cs="Times New Roman"/>
          <w:sz w:val="24"/>
          <w:szCs w:val="24"/>
          <w:bdr w:val="none" w:sz="0" w:space="0" w:color="auto" w:frame="1"/>
        </w:rPr>
        <w:t>R</w:t>
      </w:r>
      <w:r>
        <w:rPr>
          <w:rFonts w:ascii="Times New Roman" w:hAnsi="Times New Roman" w:cs="Times New Roman"/>
          <w:sz w:val="24"/>
          <w:szCs w:val="24"/>
          <w:bdr w:val="none" w:sz="0" w:space="0" w:color="auto" w:frame="1"/>
        </w:rPr>
        <w:t>anchi</w:t>
      </w:r>
      <w:r w:rsidR="00BE0E1E">
        <w:rPr>
          <w:rFonts w:ascii="Times New Roman" w:hAnsi="Times New Roman" w:cs="Times New Roman"/>
          <w:sz w:val="24"/>
          <w:szCs w:val="24"/>
          <w:bdr w:val="none" w:sz="0" w:space="0" w:color="auto" w:frame="1"/>
        </w:rPr>
        <w:t>, Jharkhand</w:t>
      </w:r>
      <w:r>
        <w:rPr>
          <w:rFonts w:ascii="Times New Roman" w:hAnsi="Times New Roman" w:cs="Times New Roman"/>
          <w:sz w:val="24"/>
          <w:szCs w:val="24"/>
          <w:bdr w:val="none" w:sz="0" w:space="0" w:color="auto" w:frame="1"/>
        </w:rPr>
        <w:t xml:space="preserve">. The </w:t>
      </w:r>
      <w:r w:rsidR="00D10506">
        <w:rPr>
          <w:rFonts w:ascii="Times New Roman" w:hAnsi="Times New Roman" w:cs="Times New Roman"/>
          <w:sz w:val="24"/>
          <w:szCs w:val="24"/>
          <w:bdr w:val="none" w:sz="0" w:space="0" w:color="auto" w:frame="1"/>
        </w:rPr>
        <w:t>f</w:t>
      </w:r>
      <w:r w:rsidRPr="00517ED5">
        <w:rPr>
          <w:rFonts w:ascii="Times New Roman" w:hAnsi="Times New Roman" w:cs="Times New Roman"/>
          <w:sz w:val="24"/>
          <w:szCs w:val="24"/>
          <w:bdr w:val="none" w:sz="0" w:space="0" w:color="auto" w:frame="1"/>
        </w:rPr>
        <w:t xml:space="preserve">ather of </w:t>
      </w:r>
      <w:r>
        <w:rPr>
          <w:rFonts w:ascii="Times New Roman" w:hAnsi="Times New Roman" w:cs="Times New Roman"/>
          <w:sz w:val="24"/>
          <w:szCs w:val="24"/>
          <w:bdr w:val="none" w:sz="0" w:space="0" w:color="auto" w:frame="1"/>
        </w:rPr>
        <w:t xml:space="preserve">the </w:t>
      </w:r>
      <w:r w:rsidRPr="00517ED5">
        <w:rPr>
          <w:rFonts w:ascii="Times New Roman" w:hAnsi="Times New Roman" w:cs="Times New Roman"/>
          <w:sz w:val="24"/>
          <w:szCs w:val="24"/>
          <w:bdr w:val="none" w:sz="0" w:space="0" w:color="auto" w:frame="1"/>
        </w:rPr>
        <w:t xml:space="preserve">lady claimed that her daughter was murdered by her husband and then </w:t>
      </w:r>
      <w:r w:rsidR="00D10506">
        <w:rPr>
          <w:rFonts w:ascii="Times New Roman" w:hAnsi="Times New Roman" w:cs="Times New Roman"/>
          <w:sz w:val="24"/>
          <w:szCs w:val="24"/>
          <w:bdr w:val="none" w:sz="0" w:space="0" w:color="auto" w:frame="1"/>
        </w:rPr>
        <w:t>hung</w:t>
      </w:r>
      <w:r w:rsidRPr="00517ED5">
        <w:rPr>
          <w:rFonts w:ascii="Times New Roman" w:hAnsi="Times New Roman" w:cs="Times New Roman"/>
          <w:sz w:val="24"/>
          <w:szCs w:val="24"/>
          <w:bdr w:val="none" w:sz="0" w:space="0" w:color="auto" w:frame="1"/>
        </w:rPr>
        <w:t xml:space="preserve"> in the well to </w:t>
      </w:r>
      <w:r w:rsidR="00D10506">
        <w:rPr>
          <w:rFonts w:ascii="Times New Roman" w:hAnsi="Times New Roman" w:cs="Times New Roman"/>
          <w:sz w:val="24"/>
          <w:szCs w:val="24"/>
          <w:bdr w:val="none" w:sz="0" w:space="0" w:color="auto" w:frame="1"/>
        </w:rPr>
        <w:t>disguise it</w:t>
      </w:r>
      <w:r w:rsidRPr="00517ED5">
        <w:rPr>
          <w:rFonts w:ascii="Times New Roman" w:hAnsi="Times New Roman" w:cs="Times New Roman"/>
          <w:sz w:val="24"/>
          <w:szCs w:val="24"/>
          <w:bdr w:val="none" w:sz="0" w:space="0" w:color="auto" w:frame="1"/>
        </w:rPr>
        <w:t xml:space="preserve"> as </w:t>
      </w:r>
      <w:r w:rsidR="00D10506">
        <w:rPr>
          <w:rFonts w:ascii="Times New Roman" w:hAnsi="Times New Roman" w:cs="Times New Roman"/>
          <w:sz w:val="24"/>
          <w:szCs w:val="24"/>
          <w:bdr w:val="none" w:sz="0" w:space="0" w:color="auto" w:frame="1"/>
        </w:rPr>
        <w:t>a suicidal</w:t>
      </w:r>
      <w:r w:rsidRPr="00517ED5">
        <w:rPr>
          <w:rFonts w:ascii="Times New Roman" w:hAnsi="Times New Roman" w:cs="Times New Roman"/>
          <w:sz w:val="24"/>
          <w:szCs w:val="24"/>
          <w:bdr w:val="none" w:sz="0" w:space="0" w:color="auto" w:frame="1"/>
        </w:rPr>
        <w:t xml:space="preserve"> hanging. No specific reason </w:t>
      </w:r>
      <w:r w:rsidR="00D10506">
        <w:rPr>
          <w:rFonts w:ascii="Times New Roman" w:hAnsi="Times New Roman" w:cs="Times New Roman"/>
          <w:sz w:val="24"/>
          <w:szCs w:val="24"/>
          <w:bdr w:val="none" w:sz="0" w:space="0" w:color="auto" w:frame="1"/>
        </w:rPr>
        <w:t>forthe cause</w:t>
      </w:r>
      <w:r w:rsidRPr="00517ED5">
        <w:rPr>
          <w:rFonts w:ascii="Times New Roman" w:hAnsi="Times New Roman" w:cs="Times New Roman"/>
          <w:sz w:val="24"/>
          <w:szCs w:val="24"/>
          <w:bdr w:val="none" w:sz="0" w:space="0" w:color="auto" w:frame="1"/>
        </w:rPr>
        <w:t xml:space="preserve"> of death was o</w:t>
      </w:r>
      <w:r>
        <w:rPr>
          <w:rFonts w:ascii="Times New Roman" w:hAnsi="Times New Roman" w:cs="Times New Roman"/>
          <w:sz w:val="24"/>
          <w:szCs w:val="24"/>
          <w:bdr w:val="none" w:sz="0" w:space="0" w:color="auto" w:frame="1"/>
        </w:rPr>
        <w:t xml:space="preserve">bserved at the time of autopsy. </w:t>
      </w:r>
      <w:r w:rsidR="00D10506">
        <w:rPr>
          <w:rFonts w:ascii="Times New Roman" w:hAnsi="Times New Roman" w:cs="Times New Roman"/>
          <w:sz w:val="24"/>
          <w:szCs w:val="24"/>
          <w:bdr w:val="none" w:sz="0" w:space="0" w:color="auto" w:frame="1"/>
        </w:rPr>
        <w:t>The sternum</w:t>
      </w:r>
      <w:r w:rsidRPr="00517ED5">
        <w:rPr>
          <w:rFonts w:ascii="Times New Roman" w:hAnsi="Times New Roman" w:cs="Times New Roman"/>
          <w:sz w:val="24"/>
          <w:szCs w:val="24"/>
          <w:bdr w:val="none" w:sz="0" w:space="0" w:color="auto" w:frame="1"/>
        </w:rPr>
        <w:t xml:space="preserve"> bone and reference water sample</w:t>
      </w:r>
      <w:r>
        <w:rPr>
          <w:rFonts w:ascii="Times New Roman" w:hAnsi="Times New Roman" w:cs="Times New Roman"/>
          <w:sz w:val="24"/>
          <w:szCs w:val="24"/>
          <w:bdr w:val="none" w:sz="0" w:space="0" w:color="auto" w:frame="1"/>
        </w:rPr>
        <w:t>s</w:t>
      </w:r>
      <w:r w:rsidRPr="00517ED5">
        <w:rPr>
          <w:rFonts w:ascii="Times New Roman" w:hAnsi="Times New Roman" w:cs="Times New Roman"/>
          <w:sz w:val="24"/>
          <w:szCs w:val="24"/>
          <w:bdr w:val="none" w:sz="0" w:space="0" w:color="auto" w:frame="1"/>
        </w:rPr>
        <w:t xml:space="preserve"> of </w:t>
      </w:r>
      <w:r>
        <w:rPr>
          <w:rFonts w:ascii="Times New Roman" w:hAnsi="Times New Roman" w:cs="Times New Roman"/>
          <w:sz w:val="24"/>
          <w:szCs w:val="24"/>
          <w:bdr w:val="none" w:sz="0" w:space="0" w:color="auto" w:frame="1"/>
        </w:rPr>
        <w:t xml:space="preserve">the </w:t>
      </w:r>
      <w:r w:rsidRPr="00517ED5">
        <w:rPr>
          <w:rFonts w:ascii="Times New Roman" w:hAnsi="Times New Roman" w:cs="Times New Roman"/>
          <w:sz w:val="24"/>
          <w:szCs w:val="24"/>
          <w:bdr w:val="none" w:sz="0" w:space="0" w:color="auto" w:frame="1"/>
        </w:rPr>
        <w:t>well w</w:t>
      </w:r>
      <w:r>
        <w:rPr>
          <w:rFonts w:ascii="Times New Roman" w:hAnsi="Times New Roman" w:cs="Times New Roman"/>
          <w:sz w:val="24"/>
          <w:szCs w:val="24"/>
          <w:bdr w:val="none" w:sz="0" w:space="0" w:color="auto" w:frame="1"/>
        </w:rPr>
        <w:t xml:space="preserve">eresubmitted to the labfor diatom examinations. </w:t>
      </w:r>
      <w:r w:rsidRPr="00517ED5">
        <w:rPr>
          <w:rFonts w:ascii="Times New Roman" w:hAnsi="Times New Roman" w:cs="Times New Roman"/>
          <w:sz w:val="24"/>
          <w:szCs w:val="24"/>
          <w:bdr w:val="none" w:sz="0" w:space="0" w:color="auto" w:frame="1"/>
        </w:rPr>
        <w:t xml:space="preserve">No diatoms were detected from the nitric acid extract of bone. However, </w:t>
      </w:r>
      <w:r>
        <w:rPr>
          <w:rFonts w:ascii="Times New Roman" w:hAnsi="Times New Roman" w:cs="Times New Roman"/>
          <w:sz w:val="24"/>
          <w:szCs w:val="24"/>
          <w:bdr w:val="none" w:sz="0" w:space="0" w:color="auto" w:frame="1"/>
        </w:rPr>
        <w:t xml:space="preserve">four </w:t>
      </w:r>
      <w:r w:rsidR="00D10506">
        <w:rPr>
          <w:rFonts w:ascii="Times New Roman" w:hAnsi="Times New Roman" w:cs="Times New Roman"/>
          <w:sz w:val="24"/>
          <w:szCs w:val="24"/>
          <w:bdr w:val="none" w:sz="0" w:space="0" w:color="auto" w:frame="1"/>
        </w:rPr>
        <w:t>diatom</w:t>
      </w:r>
      <w:r w:rsidRPr="00517ED5">
        <w:rPr>
          <w:rFonts w:ascii="Times New Roman" w:hAnsi="Times New Roman" w:cs="Times New Roman"/>
          <w:sz w:val="24"/>
          <w:szCs w:val="24"/>
          <w:bdr w:val="none" w:sz="0" w:space="0" w:color="auto" w:frame="1"/>
        </w:rPr>
        <w:t xml:space="preserve"> species </w:t>
      </w:r>
      <w:r w:rsidR="00D10506">
        <w:rPr>
          <w:rFonts w:ascii="Times New Roman" w:hAnsi="Times New Roman" w:cs="Times New Roman"/>
          <w:sz w:val="24"/>
          <w:szCs w:val="24"/>
          <w:bdr w:val="none" w:sz="0" w:space="0" w:color="auto" w:frame="1"/>
        </w:rPr>
        <w:t>(Rhizosolenia imbricata,</w:t>
      </w:r>
      <w:r w:rsidRPr="00517ED5">
        <w:rPr>
          <w:rFonts w:ascii="Times New Roman" w:hAnsi="Times New Roman" w:cs="Times New Roman"/>
          <w:i/>
          <w:sz w:val="24"/>
          <w:szCs w:val="24"/>
          <w:bdr w:val="none" w:sz="0" w:space="0" w:color="auto" w:frame="1"/>
        </w:rPr>
        <w:t xml:space="preserve"> Nitzschia</w:t>
      </w:r>
      <w:r w:rsidR="00D10506">
        <w:rPr>
          <w:rFonts w:ascii="Times New Roman" w:hAnsi="Times New Roman" w:cs="Times New Roman"/>
          <w:i/>
          <w:sz w:val="24"/>
          <w:szCs w:val="24"/>
          <w:bdr w:val="none" w:sz="0" w:space="0" w:color="auto" w:frame="1"/>
        </w:rPr>
        <w:t>longissima,</w:t>
      </w:r>
      <w:r w:rsidR="002D42F9">
        <w:rPr>
          <w:rFonts w:ascii="Times New Roman" w:hAnsi="Times New Roman" w:cs="Times New Roman"/>
          <w:i/>
          <w:sz w:val="24"/>
          <w:szCs w:val="24"/>
          <w:bdr w:val="none" w:sz="0" w:space="0" w:color="auto" w:frame="1"/>
        </w:rPr>
        <w:t>Navicula, and</w:t>
      </w:r>
      <w:r w:rsidRPr="00861056">
        <w:rPr>
          <w:rFonts w:ascii="Times New Roman" w:hAnsi="Times New Roman" w:cs="Times New Roman"/>
          <w:szCs w:val="30"/>
        </w:rPr>
        <w:t xml:space="preserve">Surirella </w:t>
      </w:r>
      <w:r w:rsidR="00D10506">
        <w:rPr>
          <w:rFonts w:ascii="Times New Roman" w:hAnsi="Times New Roman" w:cs="Times New Roman"/>
          <w:szCs w:val="30"/>
        </w:rPr>
        <w:t>elegans) were</w:t>
      </w:r>
      <w:r w:rsidRPr="00517ED5">
        <w:rPr>
          <w:rFonts w:ascii="Times New Roman" w:hAnsi="Times New Roman" w:cs="Times New Roman"/>
          <w:sz w:val="24"/>
          <w:szCs w:val="24"/>
          <w:bdr w:val="none" w:sz="0" w:space="0" w:color="auto" w:frame="1"/>
        </w:rPr>
        <w:t xml:space="preserve"> detected in </w:t>
      </w:r>
      <w:r w:rsidR="00D10506">
        <w:rPr>
          <w:rFonts w:ascii="Times New Roman" w:hAnsi="Times New Roman" w:cs="Times New Roman"/>
          <w:sz w:val="24"/>
          <w:szCs w:val="24"/>
          <w:bdr w:val="none" w:sz="0" w:space="0" w:color="auto" w:frame="1"/>
        </w:rPr>
        <w:t>the water</w:t>
      </w:r>
      <w:r w:rsidRPr="00517ED5">
        <w:rPr>
          <w:rFonts w:ascii="Times New Roman" w:hAnsi="Times New Roman" w:cs="Times New Roman"/>
          <w:sz w:val="24"/>
          <w:szCs w:val="24"/>
          <w:bdr w:val="none" w:sz="0" w:space="0" w:color="auto" w:frame="1"/>
        </w:rPr>
        <w:t xml:space="preserve"> reference. The cause of death was attributed to other reason</w:t>
      </w:r>
      <w:r>
        <w:rPr>
          <w:rFonts w:ascii="Times New Roman" w:hAnsi="Times New Roman" w:cs="Times New Roman"/>
          <w:sz w:val="24"/>
          <w:szCs w:val="24"/>
          <w:bdr w:val="none" w:sz="0" w:space="0" w:color="auto" w:frame="1"/>
        </w:rPr>
        <w:t>s</w:t>
      </w:r>
      <w:r w:rsidRPr="00517ED5">
        <w:rPr>
          <w:rFonts w:ascii="Times New Roman" w:hAnsi="Times New Roman" w:cs="Times New Roman"/>
          <w:sz w:val="24"/>
          <w:szCs w:val="24"/>
          <w:bdr w:val="none" w:sz="0" w:space="0" w:color="auto" w:frame="1"/>
        </w:rPr>
        <w:t xml:space="preserve"> than drowning. Later her husband accepted that he murdered </w:t>
      </w:r>
      <w:r w:rsidR="002D42F9">
        <w:rPr>
          <w:rFonts w:ascii="Times New Roman" w:hAnsi="Times New Roman" w:cs="Times New Roman"/>
          <w:sz w:val="24"/>
          <w:szCs w:val="24"/>
          <w:bdr w:val="none" w:sz="0" w:space="0" w:color="auto" w:frame="1"/>
        </w:rPr>
        <w:t>his</w:t>
      </w:r>
      <w:r w:rsidRPr="00517ED5">
        <w:rPr>
          <w:rFonts w:ascii="Times New Roman" w:hAnsi="Times New Roman" w:cs="Times New Roman"/>
          <w:sz w:val="24"/>
          <w:szCs w:val="24"/>
          <w:bdr w:val="none" w:sz="0" w:space="0" w:color="auto" w:frame="1"/>
        </w:rPr>
        <w:t xml:space="preserve"> wife and then </w:t>
      </w:r>
      <w:r w:rsidR="002D42F9">
        <w:rPr>
          <w:rFonts w:ascii="Times New Roman" w:hAnsi="Times New Roman" w:cs="Times New Roman"/>
          <w:sz w:val="24"/>
          <w:szCs w:val="24"/>
          <w:bdr w:val="none" w:sz="0" w:space="0" w:color="auto" w:frame="1"/>
        </w:rPr>
        <w:t>hung</w:t>
      </w:r>
      <w:r w:rsidRPr="00517ED5">
        <w:rPr>
          <w:rFonts w:ascii="Times New Roman" w:hAnsi="Times New Roman" w:cs="Times New Roman"/>
          <w:sz w:val="24"/>
          <w:szCs w:val="24"/>
          <w:bdr w:val="none" w:sz="0" w:space="0" w:color="auto" w:frame="1"/>
        </w:rPr>
        <w:t xml:space="preserve"> the body in </w:t>
      </w:r>
      <w:r w:rsidR="002D42F9">
        <w:rPr>
          <w:rFonts w:ascii="Times New Roman" w:hAnsi="Times New Roman" w:cs="Times New Roman"/>
          <w:sz w:val="24"/>
          <w:szCs w:val="24"/>
          <w:bdr w:val="none" w:sz="0" w:space="0" w:color="auto" w:frame="1"/>
        </w:rPr>
        <w:t>the well</w:t>
      </w:r>
      <w:r w:rsidRPr="00517ED5">
        <w:rPr>
          <w:rFonts w:ascii="Times New Roman" w:hAnsi="Times New Roman" w:cs="Times New Roman"/>
          <w:sz w:val="24"/>
          <w:szCs w:val="24"/>
          <w:bdr w:val="none" w:sz="0" w:space="0" w:color="auto" w:frame="1"/>
        </w:rPr>
        <w:t xml:space="preserve"> with </w:t>
      </w:r>
      <w:r w:rsidR="002D42F9">
        <w:rPr>
          <w:rFonts w:ascii="Times New Roman" w:hAnsi="Times New Roman" w:cs="Times New Roman"/>
          <w:sz w:val="24"/>
          <w:szCs w:val="24"/>
          <w:bdr w:val="none" w:sz="0" w:space="0" w:color="auto" w:frame="1"/>
        </w:rPr>
        <w:t>rope,</w:t>
      </w:r>
      <w:r w:rsidRPr="00517ED5">
        <w:rPr>
          <w:rFonts w:ascii="Times New Roman" w:hAnsi="Times New Roman" w:cs="Times New Roman"/>
          <w:sz w:val="24"/>
          <w:szCs w:val="24"/>
          <w:bdr w:val="none" w:sz="0" w:space="0" w:color="auto" w:frame="1"/>
        </w:rPr>
        <w:t xml:space="preserve"> as mentioned in vernacular reports.</w:t>
      </w:r>
    </w:p>
    <w:p w:rsidR="00A17E83" w:rsidRDefault="00A17E83" w:rsidP="004F0D7B">
      <w:pPr>
        <w:spacing w:line="240" w:lineRule="auto"/>
        <w:jc w:val="both"/>
        <w:rPr>
          <w:rFonts w:ascii="Times New Roman" w:hAnsi="Times New Roman" w:cs="Times New Roman"/>
          <w:b/>
          <w:sz w:val="24"/>
          <w:szCs w:val="24"/>
          <w:bdr w:val="none" w:sz="0" w:space="0" w:color="auto" w:frame="1"/>
        </w:rPr>
      </w:pPr>
      <w:r w:rsidRPr="00AA164B">
        <w:rPr>
          <w:rFonts w:ascii="Times New Roman" w:hAnsi="Times New Roman" w:cs="Times New Roman"/>
          <w:b/>
          <w:sz w:val="24"/>
          <w:szCs w:val="24"/>
          <w:bdr w:val="none" w:sz="0" w:space="0" w:color="auto" w:frame="1"/>
        </w:rPr>
        <w:t xml:space="preserve">Case </w:t>
      </w:r>
      <w:r>
        <w:rPr>
          <w:rFonts w:ascii="Times New Roman" w:hAnsi="Times New Roman" w:cs="Times New Roman"/>
          <w:b/>
          <w:sz w:val="24"/>
          <w:szCs w:val="24"/>
          <w:bdr w:val="none" w:sz="0" w:space="0" w:color="auto" w:frame="1"/>
        </w:rPr>
        <w:t>S</w:t>
      </w:r>
      <w:r w:rsidRPr="00AA164B">
        <w:rPr>
          <w:rFonts w:ascii="Times New Roman" w:hAnsi="Times New Roman" w:cs="Times New Roman"/>
          <w:b/>
          <w:sz w:val="24"/>
          <w:szCs w:val="24"/>
          <w:bdr w:val="none" w:sz="0" w:space="0" w:color="auto" w:frame="1"/>
        </w:rPr>
        <w:t>tudy 5</w:t>
      </w:r>
    </w:p>
    <w:p w:rsidR="00A17E83" w:rsidRPr="00146898" w:rsidRDefault="00A17E83" w:rsidP="004F0D7B">
      <w:pPr>
        <w:spacing w:line="240" w:lineRule="auto"/>
        <w:jc w:val="both"/>
        <w:rPr>
          <w:rFonts w:ascii="Times New Roman" w:hAnsi="Times New Roman" w:cs="Times New Roman"/>
          <w:sz w:val="24"/>
          <w:szCs w:val="24"/>
          <w:bdr w:val="none" w:sz="0" w:space="0" w:color="auto" w:frame="1"/>
        </w:rPr>
      </w:pPr>
      <w:r w:rsidRPr="00595D11">
        <w:rPr>
          <w:rFonts w:ascii="Times New Roman" w:hAnsi="Times New Roman" w:cs="Times New Roman"/>
          <w:sz w:val="24"/>
          <w:szCs w:val="24"/>
          <w:bdr w:val="none" w:sz="0" w:space="0" w:color="auto" w:frame="1"/>
        </w:rPr>
        <w:t xml:space="preserve">The </w:t>
      </w:r>
      <w:r>
        <w:rPr>
          <w:rFonts w:ascii="Times New Roman" w:hAnsi="Times New Roman" w:cs="Times New Roman"/>
          <w:sz w:val="24"/>
          <w:szCs w:val="24"/>
          <w:bdr w:val="none" w:sz="0" w:space="0" w:color="auto" w:frame="1"/>
        </w:rPr>
        <w:t>putrefied body of 26</w:t>
      </w:r>
      <w:r w:rsidR="002D42F9">
        <w:rPr>
          <w:rFonts w:ascii="Times New Roman" w:hAnsi="Times New Roman" w:cs="Times New Roman"/>
          <w:sz w:val="24"/>
          <w:szCs w:val="24"/>
          <w:bdr w:val="none" w:sz="0" w:space="0" w:color="auto" w:frame="1"/>
        </w:rPr>
        <w:t>-year-old</w:t>
      </w:r>
      <w:r>
        <w:rPr>
          <w:rFonts w:ascii="Times New Roman" w:hAnsi="Times New Roman" w:cs="Times New Roman"/>
          <w:sz w:val="24"/>
          <w:szCs w:val="24"/>
          <w:bdr w:val="none" w:sz="0" w:space="0" w:color="auto" w:frame="1"/>
        </w:rPr>
        <w:t xml:space="preserve"> lady was recovered from </w:t>
      </w:r>
      <w:r w:rsidR="002D42F9">
        <w:rPr>
          <w:rFonts w:ascii="Times New Roman" w:hAnsi="Times New Roman" w:cs="Times New Roman"/>
          <w:sz w:val="24"/>
          <w:szCs w:val="24"/>
          <w:bdr w:val="none" w:sz="0" w:space="0" w:color="auto" w:frame="1"/>
        </w:rPr>
        <w:t>a well</w:t>
      </w:r>
      <w:r>
        <w:rPr>
          <w:rFonts w:ascii="Times New Roman" w:hAnsi="Times New Roman" w:cs="Times New Roman"/>
          <w:sz w:val="24"/>
          <w:szCs w:val="24"/>
          <w:bdr w:val="none" w:sz="0" w:space="0" w:color="auto" w:frame="1"/>
        </w:rPr>
        <w:t xml:space="preserve"> in Chainpur, Ranchi</w:t>
      </w:r>
      <w:r w:rsidR="00BE0E1E">
        <w:rPr>
          <w:rFonts w:ascii="Times New Roman" w:hAnsi="Times New Roman" w:cs="Times New Roman"/>
          <w:sz w:val="24"/>
          <w:szCs w:val="24"/>
          <w:bdr w:val="none" w:sz="0" w:space="0" w:color="auto" w:frame="1"/>
        </w:rPr>
        <w:t xml:space="preserve">, </w:t>
      </w:r>
      <w:r w:rsidR="002D42F9">
        <w:rPr>
          <w:rFonts w:ascii="Times New Roman" w:hAnsi="Times New Roman" w:cs="Times New Roman"/>
          <w:sz w:val="24"/>
          <w:szCs w:val="24"/>
          <w:bdr w:val="none" w:sz="0" w:space="0" w:color="auto" w:frame="1"/>
        </w:rPr>
        <w:t>Jharkhand,</w:t>
      </w:r>
      <w:r>
        <w:rPr>
          <w:rFonts w:ascii="Times New Roman" w:hAnsi="Times New Roman" w:cs="Times New Roman"/>
          <w:sz w:val="24"/>
          <w:szCs w:val="24"/>
          <w:bdr w:val="none" w:sz="0" w:space="0" w:color="auto" w:frame="1"/>
        </w:rPr>
        <w:t xml:space="preserve"> by police authorities. The body was taken to </w:t>
      </w:r>
      <w:r w:rsidR="002D42F9">
        <w:rPr>
          <w:rFonts w:ascii="Times New Roman" w:hAnsi="Times New Roman" w:cs="Times New Roman"/>
          <w:sz w:val="24"/>
          <w:szCs w:val="24"/>
          <w:bdr w:val="none" w:sz="0" w:space="0" w:color="auto" w:frame="1"/>
        </w:rPr>
        <w:t>a civil</w:t>
      </w:r>
      <w:r>
        <w:rPr>
          <w:rFonts w:ascii="Times New Roman" w:hAnsi="Times New Roman" w:cs="Times New Roman"/>
          <w:sz w:val="24"/>
          <w:szCs w:val="24"/>
          <w:bdr w:val="none" w:sz="0" w:space="0" w:color="auto" w:frame="1"/>
        </w:rPr>
        <w:t xml:space="preserve"> hospital for autopsy examination. After post</w:t>
      </w:r>
      <w:r w:rsidR="002D42F9">
        <w:rPr>
          <w:rFonts w:ascii="Times New Roman" w:hAnsi="Times New Roman" w:cs="Times New Roman"/>
          <w:sz w:val="24"/>
          <w:szCs w:val="24"/>
          <w:bdr w:val="none" w:sz="0" w:space="0" w:color="auto" w:frame="1"/>
        </w:rPr>
        <w:t>-mortem examination, the</w:t>
      </w:r>
      <w:r>
        <w:rPr>
          <w:rFonts w:ascii="Times New Roman" w:hAnsi="Times New Roman" w:cs="Times New Roman"/>
          <w:sz w:val="24"/>
          <w:szCs w:val="24"/>
          <w:bdr w:val="none" w:sz="0" w:space="0" w:color="auto" w:frame="1"/>
        </w:rPr>
        <w:t xml:space="preserve"> sternum bone is preserved for diatom examination. The sternum </w:t>
      </w:r>
      <w:r w:rsidR="002D42F9">
        <w:rPr>
          <w:rFonts w:ascii="Times New Roman" w:hAnsi="Times New Roman" w:cs="Times New Roman"/>
          <w:sz w:val="24"/>
          <w:szCs w:val="24"/>
          <w:bdr w:val="none" w:sz="0" w:space="0" w:color="auto" w:frame="1"/>
        </w:rPr>
        <w:t>bone,</w:t>
      </w:r>
      <w:r>
        <w:rPr>
          <w:rFonts w:ascii="Times New Roman" w:hAnsi="Times New Roman" w:cs="Times New Roman"/>
          <w:sz w:val="24"/>
          <w:szCs w:val="24"/>
          <w:bdr w:val="none" w:sz="0" w:space="0" w:color="auto" w:frame="1"/>
        </w:rPr>
        <w:t xml:space="preserve"> along with </w:t>
      </w:r>
      <w:r w:rsidR="002D42F9">
        <w:rPr>
          <w:rFonts w:ascii="Times New Roman" w:hAnsi="Times New Roman" w:cs="Times New Roman"/>
          <w:sz w:val="24"/>
          <w:szCs w:val="24"/>
          <w:bdr w:val="none" w:sz="0" w:space="0" w:color="auto" w:frame="1"/>
        </w:rPr>
        <w:t>the reference</w:t>
      </w:r>
      <w:r>
        <w:rPr>
          <w:rFonts w:ascii="Times New Roman" w:hAnsi="Times New Roman" w:cs="Times New Roman"/>
          <w:sz w:val="24"/>
          <w:szCs w:val="24"/>
          <w:bdr w:val="none" w:sz="0" w:space="0" w:color="auto" w:frame="1"/>
        </w:rPr>
        <w:t xml:space="preserve"> water </w:t>
      </w:r>
      <w:r w:rsidR="002D42F9">
        <w:rPr>
          <w:rFonts w:ascii="Times New Roman" w:hAnsi="Times New Roman" w:cs="Times New Roman"/>
          <w:sz w:val="24"/>
          <w:szCs w:val="24"/>
          <w:bdr w:val="none" w:sz="0" w:space="0" w:color="auto" w:frame="1"/>
        </w:rPr>
        <w:t>sample,</w:t>
      </w:r>
      <w:r>
        <w:rPr>
          <w:rFonts w:ascii="Times New Roman" w:hAnsi="Times New Roman" w:cs="Times New Roman"/>
          <w:sz w:val="24"/>
          <w:szCs w:val="24"/>
          <w:bdr w:val="none" w:sz="0" w:space="0" w:color="auto" w:frame="1"/>
        </w:rPr>
        <w:t xml:space="preserve"> was sent to CFSL Chandigarh for </w:t>
      </w:r>
      <w:r w:rsidR="002D42F9">
        <w:rPr>
          <w:rFonts w:ascii="Times New Roman" w:hAnsi="Times New Roman" w:cs="Times New Roman"/>
          <w:sz w:val="24"/>
          <w:szCs w:val="24"/>
          <w:bdr w:val="none" w:sz="0" w:space="0" w:color="auto" w:frame="1"/>
        </w:rPr>
        <w:t>diatom</w:t>
      </w:r>
      <w:r>
        <w:rPr>
          <w:rFonts w:ascii="Times New Roman" w:hAnsi="Times New Roman" w:cs="Times New Roman"/>
          <w:sz w:val="24"/>
          <w:szCs w:val="24"/>
          <w:bdr w:val="none" w:sz="0" w:space="0" w:color="auto" w:frame="1"/>
        </w:rPr>
        <w:t xml:space="preserve"> examination. After receiving </w:t>
      </w:r>
      <w:r w:rsidR="002D42F9">
        <w:rPr>
          <w:rFonts w:ascii="Times New Roman" w:hAnsi="Times New Roman" w:cs="Times New Roman"/>
          <w:sz w:val="24"/>
          <w:szCs w:val="24"/>
          <w:bdr w:val="none" w:sz="0" w:space="0" w:color="auto" w:frame="1"/>
        </w:rPr>
        <w:t>the case,</w:t>
      </w:r>
      <w:r>
        <w:rPr>
          <w:rFonts w:ascii="Times New Roman" w:hAnsi="Times New Roman" w:cs="Times New Roman"/>
          <w:sz w:val="24"/>
          <w:szCs w:val="24"/>
          <w:bdr w:val="none" w:sz="0" w:space="0" w:color="auto" w:frame="1"/>
        </w:rPr>
        <w:t xml:space="preserve"> case opening was done with proper exhibit marking and photographs of all </w:t>
      </w:r>
      <w:r w:rsidR="002D42F9">
        <w:rPr>
          <w:rFonts w:ascii="Times New Roman" w:hAnsi="Times New Roman" w:cs="Times New Roman"/>
          <w:sz w:val="24"/>
          <w:szCs w:val="24"/>
          <w:bdr w:val="none" w:sz="0" w:space="0" w:color="auto" w:frame="1"/>
        </w:rPr>
        <w:t>parcels</w:t>
      </w:r>
      <w:r>
        <w:rPr>
          <w:rFonts w:ascii="Times New Roman" w:hAnsi="Times New Roman" w:cs="Times New Roman"/>
          <w:sz w:val="24"/>
          <w:szCs w:val="24"/>
          <w:bdr w:val="none" w:sz="0" w:space="0" w:color="auto" w:frame="1"/>
        </w:rPr>
        <w:t xml:space="preserve"> and </w:t>
      </w:r>
      <w:r w:rsidR="002D42F9">
        <w:rPr>
          <w:rFonts w:ascii="Times New Roman" w:hAnsi="Times New Roman" w:cs="Times New Roman"/>
          <w:sz w:val="24"/>
          <w:szCs w:val="24"/>
          <w:bdr w:val="none" w:sz="0" w:space="0" w:color="auto" w:frame="1"/>
        </w:rPr>
        <w:t xml:space="preserve">exhibits. </w:t>
      </w:r>
      <w:r>
        <w:rPr>
          <w:rFonts w:ascii="Times New Roman" w:hAnsi="Times New Roman" w:cs="Times New Roman"/>
          <w:sz w:val="24"/>
          <w:szCs w:val="24"/>
        </w:rPr>
        <w:t xml:space="preserve">Diatoms were found in both the </w:t>
      </w:r>
      <w:r w:rsidR="002D42F9">
        <w:rPr>
          <w:rFonts w:ascii="Times New Roman" w:hAnsi="Times New Roman" w:cs="Times New Roman"/>
          <w:sz w:val="24"/>
          <w:szCs w:val="24"/>
        </w:rPr>
        <w:t>samples,</w:t>
      </w:r>
      <w:r>
        <w:rPr>
          <w:rFonts w:ascii="Times New Roman" w:hAnsi="Times New Roman" w:cs="Times New Roman"/>
          <w:sz w:val="24"/>
          <w:szCs w:val="24"/>
        </w:rPr>
        <w:t xml:space="preserve"> and </w:t>
      </w:r>
      <w:r w:rsidR="002D42F9">
        <w:rPr>
          <w:rFonts w:ascii="Times New Roman" w:hAnsi="Times New Roman" w:cs="Times New Roman"/>
          <w:sz w:val="24"/>
          <w:szCs w:val="24"/>
        </w:rPr>
        <w:t>a comparative</w:t>
      </w:r>
      <w:r>
        <w:rPr>
          <w:rFonts w:ascii="Times New Roman" w:hAnsi="Times New Roman" w:cs="Times New Roman"/>
          <w:sz w:val="24"/>
          <w:szCs w:val="24"/>
        </w:rPr>
        <w:t xml:space="preserve"> study of these diatoms was carried out. Diatoms of different species were detected from the sternum bone </w:t>
      </w:r>
      <w:r w:rsidR="002D42F9">
        <w:rPr>
          <w:rFonts w:ascii="Times New Roman" w:hAnsi="Times New Roman" w:cs="Times New Roman"/>
          <w:sz w:val="24"/>
          <w:szCs w:val="24"/>
        </w:rPr>
        <w:t>sample,</w:t>
      </w:r>
      <w:r>
        <w:rPr>
          <w:rFonts w:ascii="Times New Roman" w:hAnsi="Times New Roman" w:cs="Times New Roman"/>
          <w:sz w:val="24"/>
          <w:szCs w:val="24"/>
        </w:rPr>
        <w:t xml:space="preserve"> and </w:t>
      </w:r>
      <w:r w:rsidR="002D42F9">
        <w:rPr>
          <w:rFonts w:ascii="Times New Roman" w:hAnsi="Times New Roman" w:cs="Times New Roman"/>
          <w:sz w:val="24"/>
          <w:szCs w:val="24"/>
        </w:rPr>
        <w:t>the same</w:t>
      </w:r>
      <w:r>
        <w:rPr>
          <w:rFonts w:ascii="Times New Roman" w:hAnsi="Times New Roman" w:cs="Times New Roman"/>
          <w:sz w:val="24"/>
          <w:szCs w:val="24"/>
        </w:rPr>
        <w:t xml:space="preserve"> species of diatoms were recovered from </w:t>
      </w:r>
      <w:r w:rsidR="002D42F9">
        <w:rPr>
          <w:rFonts w:ascii="Times New Roman" w:hAnsi="Times New Roman" w:cs="Times New Roman"/>
          <w:sz w:val="24"/>
          <w:szCs w:val="24"/>
        </w:rPr>
        <w:t>the source</w:t>
      </w:r>
      <w:r>
        <w:rPr>
          <w:rFonts w:ascii="Times New Roman" w:hAnsi="Times New Roman" w:cs="Times New Roman"/>
          <w:sz w:val="24"/>
          <w:szCs w:val="24"/>
        </w:rPr>
        <w:t xml:space="preserve"> of </w:t>
      </w:r>
      <w:r w:rsidR="002D42F9">
        <w:rPr>
          <w:rFonts w:ascii="Times New Roman" w:hAnsi="Times New Roman" w:cs="Times New Roman"/>
          <w:sz w:val="24"/>
          <w:szCs w:val="24"/>
        </w:rPr>
        <w:t>the reference</w:t>
      </w:r>
      <w:r>
        <w:rPr>
          <w:rFonts w:ascii="Times New Roman" w:hAnsi="Times New Roman" w:cs="Times New Roman"/>
          <w:sz w:val="24"/>
          <w:szCs w:val="24"/>
        </w:rPr>
        <w:t xml:space="preserve"> water sample as well. </w:t>
      </w:r>
      <w:r w:rsidRPr="00A133E3">
        <w:rPr>
          <w:rFonts w:ascii="Times New Roman" w:hAnsi="Times New Roman" w:cs="Times New Roman"/>
          <w:sz w:val="24"/>
          <w:szCs w:val="24"/>
        </w:rPr>
        <w:t xml:space="preserve">Drowning was the </w:t>
      </w:r>
      <w:r>
        <w:rPr>
          <w:rFonts w:ascii="Times New Roman" w:hAnsi="Times New Roman" w:cs="Times New Roman"/>
          <w:sz w:val="24"/>
          <w:szCs w:val="24"/>
        </w:rPr>
        <w:t xml:space="preserve">most probable </w:t>
      </w:r>
      <w:r w:rsidRPr="00A133E3">
        <w:rPr>
          <w:rFonts w:ascii="Times New Roman" w:hAnsi="Times New Roman" w:cs="Times New Roman"/>
          <w:sz w:val="24"/>
          <w:szCs w:val="24"/>
        </w:rPr>
        <w:t>cause of death</w:t>
      </w:r>
      <w:r w:rsidRPr="00517ED5">
        <w:rPr>
          <w:rFonts w:ascii="Times New Roman" w:hAnsi="Times New Roman" w:cs="Times New Roman"/>
          <w:sz w:val="24"/>
          <w:szCs w:val="24"/>
          <w:bdr w:val="none" w:sz="0" w:space="0" w:color="auto" w:frame="1"/>
        </w:rPr>
        <w:t>.</w:t>
      </w:r>
    </w:p>
    <w:p w:rsidR="00A17E83" w:rsidRDefault="00A17E83" w:rsidP="004F0D7B">
      <w:pPr>
        <w:spacing w:line="240" w:lineRule="auto"/>
        <w:jc w:val="both"/>
        <w:rPr>
          <w:rFonts w:ascii="Times New Roman" w:hAnsi="Times New Roman" w:cs="Times New Roman"/>
          <w:b/>
          <w:sz w:val="24"/>
          <w:szCs w:val="24"/>
          <w:bdr w:val="none" w:sz="0" w:space="0" w:color="auto" w:frame="1"/>
        </w:rPr>
      </w:pPr>
      <w:r w:rsidRPr="007B6B87">
        <w:rPr>
          <w:rFonts w:ascii="Times New Roman" w:hAnsi="Times New Roman" w:cs="Times New Roman"/>
          <w:b/>
          <w:sz w:val="24"/>
          <w:szCs w:val="24"/>
          <w:bdr w:val="none" w:sz="0" w:space="0" w:color="auto" w:frame="1"/>
        </w:rPr>
        <w:t xml:space="preserve">Cases </w:t>
      </w:r>
      <w:r>
        <w:rPr>
          <w:rFonts w:ascii="Times New Roman" w:hAnsi="Times New Roman" w:cs="Times New Roman"/>
          <w:b/>
          <w:sz w:val="24"/>
          <w:szCs w:val="24"/>
          <w:bdr w:val="none" w:sz="0" w:space="0" w:color="auto" w:frame="1"/>
        </w:rPr>
        <w:t>S</w:t>
      </w:r>
      <w:r w:rsidRPr="007B6B87">
        <w:rPr>
          <w:rFonts w:ascii="Times New Roman" w:hAnsi="Times New Roman" w:cs="Times New Roman"/>
          <w:b/>
          <w:sz w:val="24"/>
          <w:szCs w:val="24"/>
          <w:bdr w:val="none" w:sz="0" w:space="0" w:color="auto" w:frame="1"/>
        </w:rPr>
        <w:t>tudy 6</w:t>
      </w:r>
    </w:p>
    <w:p w:rsidR="00A17E83" w:rsidRDefault="00A17E83" w:rsidP="004F0D7B">
      <w:pPr>
        <w:spacing w:line="240" w:lineRule="auto"/>
        <w:jc w:val="both"/>
        <w:rPr>
          <w:rFonts w:ascii="Times New Roman" w:hAnsi="Times New Roman" w:cs="Times New Roman"/>
          <w:sz w:val="24"/>
          <w:szCs w:val="24"/>
        </w:rPr>
      </w:pPr>
      <w:r w:rsidRPr="007B6B87">
        <w:rPr>
          <w:rFonts w:ascii="Times New Roman" w:hAnsi="Times New Roman" w:cs="Times New Roman"/>
          <w:sz w:val="24"/>
          <w:szCs w:val="24"/>
          <w:bdr w:val="none" w:sz="0" w:space="0" w:color="auto" w:frame="1"/>
        </w:rPr>
        <w:t>The body of 33</w:t>
      </w:r>
      <w:r w:rsidR="002D42F9">
        <w:rPr>
          <w:rFonts w:ascii="Times New Roman" w:hAnsi="Times New Roman" w:cs="Times New Roman"/>
          <w:sz w:val="24"/>
          <w:szCs w:val="24"/>
          <w:bdr w:val="none" w:sz="0" w:space="0" w:color="auto" w:frame="1"/>
        </w:rPr>
        <w:t>-year-old</w:t>
      </w:r>
      <w:r w:rsidRPr="007B6B87">
        <w:rPr>
          <w:rFonts w:ascii="Times New Roman" w:hAnsi="Times New Roman" w:cs="Times New Roman"/>
          <w:sz w:val="24"/>
          <w:szCs w:val="24"/>
          <w:bdr w:val="none" w:sz="0" w:space="0" w:color="auto" w:frame="1"/>
        </w:rPr>
        <w:t xml:space="preserve"> lady </w:t>
      </w:r>
      <w:r>
        <w:rPr>
          <w:rFonts w:ascii="Times New Roman" w:hAnsi="Times New Roman" w:cs="Times New Roman"/>
          <w:sz w:val="24"/>
          <w:szCs w:val="24"/>
          <w:bdr w:val="none" w:sz="0" w:space="0" w:color="auto" w:frame="1"/>
        </w:rPr>
        <w:t xml:space="preserve">was recovered from a well in Daltonganj, </w:t>
      </w:r>
      <w:r w:rsidR="002D42F9">
        <w:rPr>
          <w:rFonts w:ascii="Times New Roman" w:hAnsi="Times New Roman" w:cs="Times New Roman"/>
          <w:sz w:val="24"/>
          <w:szCs w:val="24"/>
          <w:bdr w:val="none" w:sz="0" w:space="0" w:color="auto" w:frame="1"/>
        </w:rPr>
        <w:t>Jharkhand,</w:t>
      </w:r>
      <w:r>
        <w:rPr>
          <w:rFonts w:ascii="Times New Roman" w:hAnsi="Times New Roman" w:cs="Times New Roman"/>
          <w:sz w:val="24"/>
          <w:szCs w:val="24"/>
          <w:bdr w:val="none" w:sz="0" w:space="0" w:color="auto" w:frame="1"/>
        </w:rPr>
        <w:t xml:space="preserve"> by police authorities. The body was taken to </w:t>
      </w:r>
      <w:r w:rsidR="002D42F9">
        <w:rPr>
          <w:rFonts w:ascii="Times New Roman" w:hAnsi="Times New Roman" w:cs="Times New Roman"/>
          <w:sz w:val="24"/>
          <w:szCs w:val="24"/>
          <w:bdr w:val="none" w:sz="0" w:space="0" w:color="auto" w:frame="1"/>
        </w:rPr>
        <w:t>a civil</w:t>
      </w:r>
      <w:r>
        <w:rPr>
          <w:rFonts w:ascii="Times New Roman" w:hAnsi="Times New Roman" w:cs="Times New Roman"/>
          <w:sz w:val="24"/>
          <w:szCs w:val="24"/>
          <w:bdr w:val="none" w:sz="0" w:space="0" w:color="auto" w:frame="1"/>
        </w:rPr>
        <w:t xml:space="preserve"> hospital for autopsy. After post</w:t>
      </w:r>
      <w:r w:rsidR="002D42F9">
        <w:rPr>
          <w:rFonts w:ascii="Times New Roman" w:hAnsi="Times New Roman" w:cs="Times New Roman"/>
          <w:sz w:val="24"/>
          <w:szCs w:val="24"/>
          <w:bdr w:val="none" w:sz="0" w:space="0" w:color="auto" w:frame="1"/>
        </w:rPr>
        <w:t>-mortem examination, the</w:t>
      </w:r>
      <w:r>
        <w:rPr>
          <w:rFonts w:ascii="Times New Roman" w:hAnsi="Times New Roman" w:cs="Times New Roman"/>
          <w:sz w:val="24"/>
          <w:szCs w:val="24"/>
          <w:bdr w:val="none" w:sz="0" w:space="0" w:color="auto" w:frame="1"/>
        </w:rPr>
        <w:t xml:space="preserve"> sternum bone is preserved for diatom examination. The sternum </w:t>
      </w:r>
      <w:r w:rsidR="002D42F9">
        <w:rPr>
          <w:rFonts w:ascii="Times New Roman" w:hAnsi="Times New Roman" w:cs="Times New Roman"/>
          <w:sz w:val="24"/>
          <w:szCs w:val="24"/>
          <w:bdr w:val="none" w:sz="0" w:space="0" w:color="auto" w:frame="1"/>
        </w:rPr>
        <w:t>bone,</w:t>
      </w:r>
      <w:r>
        <w:rPr>
          <w:rFonts w:ascii="Times New Roman" w:hAnsi="Times New Roman" w:cs="Times New Roman"/>
          <w:sz w:val="24"/>
          <w:szCs w:val="24"/>
          <w:bdr w:val="none" w:sz="0" w:space="0" w:color="auto" w:frame="1"/>
        </w:rPr>
        <w:t xml:space="preserve"> along with </w:t>
      </w:r>
      <w:r w:rsidR="002D42F9">
        <w:rPr>
          <w:rFonts w:ascii="Times New Roman" w:hAnsi="Times New Roman" w:cs="Times New Roman"/>
          <w:sz w:val="24"/>
          <w:szCs w:val="24"/>
          <w:bdr w:val="none" w:sz="0" w:space="0" w:color="auto" w:frame="1"/>
        </w:rPr>
        <w:t>a reference</w:t>
      </w:r>
      <w:r>
        <w:rPr>
          <w:rFonts w:ascii="Times New Roman" w:hAnsi="Times New Roman" w:cs="Times New Roman"/>
          <w:sz w:val="24"/>
          <w:szCs w:val="24"/>
          <w:bdr w:val="none" w:sz="0" w:space="0" w:color="auto" w:frame="1"/>
        </w:rPr>
        <w:t xml:space="preserve"> water sample from the </w:t>
      </w:r>
      <w:r w:rsidR="002D42F9">
        <w:rPr>
          <w:rFonts w:ascii="Times New Roman" w:hAnsi="Times New Roman" w:cs="Times New Roman"/>
          <w:sz w:val="24"/>
          <w:szCs w:val="24"/>
          <w:bdr w:val="none" w:sz="0" w:space="0" w:color="auto" w:frame="1"/>
        </w:rPr>
        <w:t>well,</w:t>
      </w:r>
      <w:r>
        <w:rPr>
          <w:rFonts w:ascii="Times New Roman" w:hAnsi="Times New Roman" w:cs="Times New Roman"/>
          <w:sz w:val="24"/>
          <w:szCs w:val="24"/>
          <w:bdr w:val="none" w:sz="0" w:space="0" w:color="auto" w:frame="1"/>
        </w:rPr>
        <w:t xml:space="preserve"> was sent to CFSL Chandigarh for </w:t>
      </w:r>
      <w:r w:rsidR="002D42F9">
        <w:rPr>
          <w:rFonts w:ascii="Times New Roman" w:hAnsi="Times New Roman" w:cs="Times New Roman"/>
          <w:sz w:val="24"/>
          <w:szCs w:val="24"/>
          <w:bdr w:val="none" w:sz="0" w:space="0" w:color="auto" w:frame="1"/>
        </w:rPr>
        <w:t>diatom</w:t>
      </w:r>
      <w:r>
        <w:rPr>
          <w:rFonts w:ascii="Times New Roman" w:hAnsi="Times New Roman" w:cs="Times New Roman"/>
          <w:sz w:val="24"/>
          <w:szCs w:val="24"/>
          <w:bdr w:val="none" w:sz="0" w:space="0" w:color="auto" w:frame="1"/>
        </w:rPr>
        <w:t xml:space="preserve"> examination. After receiving </w:t>
      </w:r>
      <w:r w:rsidR="002D42F9">
        <w:rPr>
          <w:rFonts w:ascii="Times New Roman" w:hAnsi="Times New Roman" w:cs="Times New Roman"/>
          <w:sz w:val="24"/>
          <w:szCs w:val="24"/>
          <w:bdr w:val="none" w:sz="0" w:space="0" w:color="auto" w:frame="1"/>
        </w:rPr>
        <w:t>the case,</w:t>
      </w:r>
      <w:r>
        <w:rPr>
          <w:rFonts w:ascii="Times New Roman" w:hAnsi="Times New Roman" w:cs="Times New Roman"/>
          <w:sz w:val="24"/>
          <w:szCs w:val="24"/>
          <w:bdr w:val="none" w:sz="0" w:space="0" w:color="auto" w:frame="1"/>
        </w:rPr>
        <w:t xml:space="preserve"> case opening was done with proper exhibit marking and photographs of all </w:t>
      </w:r>
      <w:r w:rsidR="002D42F9">
        <w:rPr>
          <w:rFonts w:ascii="Times New Roman" w:hAnsi="Times New Roman" w:cs="Times New Roman"/>
          <w:sz w:val="24"/>
          <w:szCs w:val="24"/>
          <w:bdr w:val="none" w:sz="0" w:space="0" w:color="auto" w:frame="1"/>
        </w:rPr>
        <w:t>parcels</w:t>
      </w:r>
      <w:r>
        <w:rPr>
          <w:rFonts w:ascii="Times New Roman" w:hAnsi="Times New Roman" w:cs="Times New Roman"/>
          <w:sz w:val="24"/>
          <w:szCs w:val="24"/>
          <w:bdr w:val="none" w:sz="0" w:space="0" w:color="auto" w:frame="1"/>
        </w:rPr>
        <w:t xml:space="preserve"> and exhibits. </w:t>
      </w:r>
      <w:r>
        <w:rPr>
          <w:rFonts w:ascii="Times New Roman" w:hAnsi="Times New Roman" w:cs="Times New Roman"/>
          <w:sz w:val="24"/>
          <w:szCs w:val="24"/>
        </w:rPr>
        <w:t xml:space="preserve">Diatoms were found in both the </w:t>
      </w:r>
      <w:r w:rsidR="002D42F9">
        <w:rPr>
          <w:rFonts w:ascii="Times New Roman" w:hAnsi="Times New Roman" w:cs="Times New Roman"/>
          <w:sz w:val="24"/>
          <w:szCs w:val="24"/>
        </w:rPr>
        <w:t>samples,</w:t>
      </w:r>
      <w:r>
        <w:rPr>
          <w:rFonts w:ascii="Times New Roman" w:hAnsi="Times New Roman" w:cs="Times New Roman"/>
          <w:sz w:val="24"/>
          <w:szCs w:val="24"/>
        </w:rPr>
        <w:t xml:space="preserve"> and </w:t>
      </w:r>
      <w:r w:rsidR="002D42F9">
        <w:rPr>
          <w:rFonts w:ascii="Times New Roman" w:hAnsi="Times New Roman" w:cs="Times New Roman"/>
          <w:sz w:val="24"/>
          <w:szCs w:val="24"/>
        </w:rPr>
        <w:t>a comparative</w:t>
      </w:r>
      <w:r>
        <w:rPr>
          <w:rFonts w:ascii="Times New Roman" w:hAnsi="Times New Roman" w:cs="Times New Roman"/>
          <w:sz w:val="24"/>
          <w:szCs w:val="24"/>
        </w:rPr>
        <w:t xml:space="preserve"> study of these diatoms was carried out. Diatoms of different species were detected from the sternum bone </w:t>
      </w:r>
      <w:r w:rsidR="002D42F9">
        <w:rPr>
          <w:rFonts w:ascii="Times New Roman" w:hAnsi="Times New Roman" w:cs="Times New Roman"/>
          <w:sz w:val="24"/>
          <w:szCs w:val="24"/>
        </w:rPr>
        <w:t>sample,</w:t>
      </w:r>
      <w:r>
        <w:rPr>
          <w:rFonts w:ascii="Times New Roman" w:hAnsi="Times New Roman" w:cs="Times New Roman"/>
          <w:sz w:val="24"/>
          <w:szCs w:val="24"/>
        </w:rPr>
        <w:t xml:space="preserve"> and </w:t>
      </w:r>
      <w:r w:rsidR="002D42F9">
        <w:rPr>
          <w:rFonts w:ascii="Times New Roman" w:hAnsi="Times New Roman" w:cs="Times New Roman"/>
          <w:sz w:val="24"/>
          <w:szCs w:val="24"/>
        </w:rPr>
        <w:t>the same</w:t>
      </w:r>
      <w:r>
        <w:rPr>
          <w:rFonts w:ascii="Times New Roman" w:hAnsi="Times New Roman" w:cs="Times New Roman"/>
          <w:sz w:val="24"/>
          <w:szCs w:val="24"/>
        </w:rPr>
        <w:t xml:space="preserve"> species of diatoms were recovered from </w:t>
      </w:r>
      <w:r w:rsidR="002D42F9">
        <w:rPr>
          <w:rFonts w:ascii="Times New Roman" w:hAnsi="Times New Roman" w:cs="Times New Roman"/>
          <w:sz w:val="24"/>
          <w:szCs w:val="24"/>
        </w:rPr>
        <w:t>the source</w:t>
      </w:r>
      <w:r>
        <w:rPr>
          <w:rFonts w:ascii="Times New Roman" w:hAnsi="Times New Roman" w:cs="Times New Roman"/>
          <w:sz w:val="24"/>
          <w:szCs w:val="24"/>
        </w:rPr>
        <w:t xml:space="preserve"> of </w:t>
      </w:r>
      <w:r w:rsidR="002D42F9">
        <w:rPr>
          <w:rFonts w:ascii="Times New Roman" w:hAnsi="Times New Roman" w:cs="Times New Roman"/>
          <w:sz w:val="24"/>
          <w:szCs w:val="24"/>
        </w:rPr>
        <w:t>the reference</w:t>
      </w:r>
      <w:r>
        <w:rPr>
          <w:rFonts w:ascii="Times New Roman" w:hAnsi="Times New Roman" w:cs="Times New Roman"/>
          <w:sz w:val="24"/>
          <w:szCs w:val="24"/>
        </w:rPr>
        <w:t xml:space="preserve"> water sample as well. </w:t>
      </w:r>
      <w:r w:rsidRPr="00A133E3">
        <w:rPr>
          <w:rFonts w:ascii="Times New Roman" w:hAnsi="Times New Roman" w:cs="Times New Roman"/>
          <w:sz w:val="24"/>
          <w:szCs w:val="24"/>
        </w:rPr>
        <w:t xml:space="preserve">Drowning was the </w:t>
      </w:r>
      <w:r>
        <w:rPr>
          <w:rFonts w:ascii="Times New Roman" w:hAnsi="Times New Roman" w:cs="Times New Roman"/>
          <w:sz w:val="24"/>
          <w:szCs w:val="24"/>
        </w:rPr>
        <w:t xml:space="preserve">most probable </w:t>
      </w:r>
      <w:r w:rsidRPr="00A133E3">
        <w:rPr>
          <w:rFonts w:ascii="Times New Roman" w:hAnsi="Times New Roman" w:cs="Times New Roman"/>
          <w:sz w:val="24"/>
          <w:szCs w:val="24"/>
        </w:rPr>
        <w:t>cause of death.</w:t>
      </w:r>
    </w:p>
    <w:p w:rsidR="00A17E83" w:rsidRPr="00517ED5" w:rsidRDefault="002D42F9" w:rsidP="004F0D7B">
      <w:pPr>
        <w:spacing w:line="240" w:lineRule="auto"/>
        <w:jc w:val="both"/>
        <w:rPr>
          <w:rFonts w:ascii="Times New Roman" w:hAnsi="Times New Roman" w:cs="Times New Roman"/>
          <w:sz w:val="24"/>
          <w:szCs w:val="24"/>
        </w:rPr>
      </w:pPr>
      <w:r w:rsidRPr="003D07CA">
        <w:rPr>
          <w:rFonts w:ascii="Times New Roman" w:hAnsi="Times New Roman" w:cs="Times New Roman"/>
          <w:b/>
          <w:sz w:val="24"/>
          <w:szCs w:val="24"/>
        </w:rPr>
        <w:t>COMPARATIVE ANALYSIS TABLE IN BRIEF</w:t>
      </w:r>
    </w:p>
    <w:tbl>
      <w:tblPr>
        <w:tblStyle w:val="TableGrid"/>
        <w:tblW w:w="9000" w:type="dxa"/>
        <w:tblInd w:w="108" w:type="dxa"/>
        <w:tblLayout w:type="fixed"/>
        <w:tblLook w:val="04A0"/>
      </w:tblPr>
      <w:tblGrid>
        <w:gridCol w:w="567"/>
        <w:gridCol w:w="1134"/>
        <w:gridCol w:w="1629"/>
        <w:gridCol w:w="1260"/>
        <w:gridCol w:w="2700"/>
        <w:gridCol w:w="1710"/>
      </w:tblGrid>
      <w:tr w:rsidR="00A17E83" w:rsidTr="001D0B46">
        <w:tc>
          <w:tcPr>
            <w:tcW w:w="567" w:type="dxa"/>
          </w:tcPr>
          <w:p w:rsidR="00A17E83" w:rsidRPr="00C45947" w:rsidRDefault="00A17E83" w:rsidP="004F0D7B">
            <w:pPr>
              <w:jc w:val="center"/>
              <w:rPr>
                <w:rFonts w:ascii="Times New Roman" w:hAnsi="Times New Roman" w:cs="Times New Roman"/>
                <w:b/>
                <w:szCs w:val="24"/>
              </w:rPr>
            </w:pPr>
            <w:r w:rsidRPr="00C45947">
              <w:rPr>
                <w:rFonts w:ascii="Times New Roman" w:hAnsi="Times New Roman" w:cs="Times New Roman"/>
                <w:b/>
                <w:szCs w:val="24"/>
              </w:rPr>
              <w:t>Sr.no</w:t>
            </w:r>
          </w:p>
        </w:tc>
        <w:tc>
          <w:tcPr>
            <w:tcW w:w="1134" w:type="dxa"/>
          </w:tcPr>
          <w:p w:rsidR="00A17E83" w:rsidRPr="00C45947" w:rsidRDefault="00A17E83" w:rsidP="004F0D7B">
            <w:pPr>
              <w:jc w:val="center"/>
              <w:rPr>
                <w:rFonts w:ascii="Times New Roman" w:hAnsi="Times New Roman" w:cs="Times New Roman"/>
                <w:b/>
                <w:szCs w:val="24"/>
              </w:rPr>
            </w:pPr>
            <w:r w:rsidRPr="00C45947">
              <w:rPr>
                <w:rFonts w:ascii="Times New Roman" w:hAnsi="Times New Roman" w:cs="Times New Roman"/>
                <w:b/>
                <w:szCs w:val="24"/>
              </w:rPr>
              <w:t>Evidence sample</w:t>
            </w:r>
          </w:p>
        </w:tc>
        <w:tc>
          <w:tcPr>
            <w:tcW w:w="1629" w:type="dxa"/>
          </w:tcPr>
          <w:p w:rsidR="00A17E83" w:rsidRPr="00C45947" w:rsidRDefault="00A17E83" w:rsidP="004F0D7B">
            <w:pPr>
              <w:jc w:val="center"/>
              <w:rPr>
                <w:rFonts w:ascii="Times New Roman" w:hAnsi="Times New Roman" w:cs="Times New Roman"/>
                <w:b/>
                <w:szCs w:val="24"/>
              </w:rPr>
            </w:pPr>
            <w:r w:rsidRPr="00C45947">
              <w:rPr>
                <w:rFonts w:ascii="Times New Roman" w:hAnsi="Times New Roman" w:cs="Times New Roman"/>
                <w:b/>
                <w:szCs w:val="24"/>
              </w:rPr>
              <w:t>Types of diatoms</w:t>
            </w:r>
          </w:p>
          <w:p w:rsidR="00A17E83" w:rsidRPr="00C45947" w:rsidRDefault="00A17E83" w:rsidP="004F0D7B">
            <w:pPr>
              <w:jc w:val="center"/>
              <w:rPr>
                <w:rFonts w:ascii="Times New Roman" w:hAnsi="Times New Roman" w:cs="Times New Roman"/>
                <w:b/>
                <w:szCs w:val="24"/>
              </w:rPr>
            </w:pPr>
            <w:r w:rsidRPr="00C45947">
              <w:rPr>
                <w:rFonts w:ascii="Times New Roman" w:hAnsi="Times New Roman" w:cs="Times New Roman"/>
                <w:b/>
                <w:szCs w:val="24"/>
              </w:rPr>
              <w:t>Detected</w:t>
            </w:r>
          </w:p>
        </w:tc>
        <w:tc>
          <w:tcPr>
            <w:tcW w:w="1260" w:type="dxa"/>
          </w:tcPr>
          <w:p w:rsidR="00A17E83" w:rsidRPr="00C45947" w:rsidRDefault="00A17E83" w:rsidP="004F0D7B">
            <w:pPr>
              <w:jc w:val="center"/>
              <w:rPr>
                <w:rFonts w:ascii="Times New Roman" w:hAnsi="Times New Roman" w:cs="Times New Roman"/>
                <w:b/>
                <w:szCs w:val="24"/>
              </w:rPr>
            </w:pPr>
            <w:r w:rsidRPr="00C45947">
              <w:rPr>
                <w:rFonts w:ascii="Times New Roman" w:hAnsi="Times New Roman" w:cs="Times New Roman"/>
                <w:b/>
                <w:szCs w:val="24"/>
              </w:rPr>
              <w:t>Reference sample</w:t>
            </w:r>
          </w:p>
        </w:tc>
        <w:tc>
          <w:tcPr>
            <w:tcW w:w="2700" w:type="dxa"/>
          </w:tcPr>
          <w:p w:rsidR="00A17E83" w:rsidRPr="00C45947" w:rsidRDefault="00A17E83" w:rsidP="004F0D7B">
            <w:pPr>
              <w:jc w:val="center"/>
              <w:rPr>
                <w:rFonts w:ascii="Times New Roman" w:hAnsi="Times New Roman" w:cs="Times New Roman"/>
                <w:b/>
                <w:szCs w:val="24"/>
              </w:rPr>
            </w:pPr>
            <w:r w:rsidRPr="00C45947">
              <w:rPr>
                <w:rFonts w:ascii="Times New Roman" w:hAnsi="Times New Roman" w:cs="Times New Roman"/>
                <w:b/>
                <w:szCs w:val="24"/>
              </w:rPr>
              <w:t>Types of diatoms</w:t>
            </w:r>
          </w:p>
          <w:p w:rsidR="00A17E83" w:rsidRPr="00C45947" w:rsidRDefault="00A17E83" w:rsidP="004F0D7B">
            <w:pPr>
              <w:jc w:val="center"/>
              <w:rPr>
                <w:rFonts w:ascii="Times New Roman" w:hAnsi="Times New Roman" w:cs="Times New Roman"/>
                <w:b/>
                <w:szCs w:val="24"/>
              </w:rPr>
            </w:pPr>
            <w:r w:rsidRPr="00C45947">
              <w:rPr>
                <w:rFonts w:ascii="Times New Roman" w:hAnsi="Times New Roman" w:cs="Times New Roman"/>
                <w:b/>
                <w:szCs w:val="24"/>
              </w:rPr>
              <w:t xml:space="preserve"> detected </w:t>
            </w:r>
          </w:p>
        </w:tc>
        <w:tc>
          <w:tcPr>
            <w:tcW w:w="1710" w:type="dxa"/>
          </w:tcPr>
          <w:p w:rsidR="00A17E83" w:rsidRPr="00C45947" w:rsidRDefault="00A17E83" w:rsidP="004F0D7B">
            <w:pPr>
              <w:jc w:val="center"/>
              <w:rPr>
                <w:rFonts w:ascii="Times New Roman" w:hAnsi="Times New Roman" w:cs="Times New Roman"/>
                <w:b/>
                <w:szCs w:val="24"/>
              </w:rPr>
            </w:pPr>
            <w:r w:rsidRPr="00C45947">
              <w:rPr>
                <w:rFonts w:ascii="Times New Roman" w:hAnsi="Times New Roman" w:cs="Times New Roman"/>
                <w:b/>
                <w:szCs w:val="24"/>
              </w:rPr>
              <w:t>Geographical location</w:t>
            </w:r>
          </w:p>
        </w:tc>
      </w:tr>
      <w:tr w:rsidR="00A17E83" w:rsidTr="001D0B46">
        <w:tc>
          <w:tcPr>
            <w:tcW w:w="567" w:type="dxa"/>
          </w:tcPr>
          <w:p w:rsidR="00A17E83" w:rsidRPr="007A5B4E" w:rsidRDefault="00A17E83" w:rsidP="004F0D7B">
            <w:pPr>
              <w:jc w:val="center"/>
              <w:rPr>
                <w:rFonts w:ascii="Times New Roman" w:hAnsi="Times New Roman" w:cs="Times New Roman"/>
                <w:bCs/>
                <w:szCs w:val="24"/>
              </w:rPr>
            </w:pPr>
            <w:r w:rsidRPr="007A5B4E">
              <w:rPr>
                <w:rFonts w:ascii="Times New Roman" w:hAnsi="Times New Roman" w:cs="Times New Roman"/>
                <w:bCs/>
                <w:szCs w:val="24"/>
              </w:rPr>
              <w:t>1</w:t>
            </w:r>
          </w:p>
        </w:tc>
        <w:tc>
          <w:tcPr>
            <w:tcW w:w="1134" w:type="dxa"/>
          </w:tcPr>
          <w:p w:rsidR="00A17E83" w:rsidRPr="00C45947" w:rsidRDefault="00A17E83" w:rsidP="004F0D7B">
            <w:pPr>
              <w:jc w:val="center"/>
              <w:rPr>
                <w:rFonts w:ascii="Times New Roman" w:hAnsi="Times New Roman" w:cs="Times New Roman"/>
                <w:b/>
                <w:szCs w:val="24"/>
              </w:rPr>
            </w:pPr>
            <w:r>
              <w:rPr>
                <w:rFonts w:ascii="Times New Roman" w:hAnsi="Times New Roman" w:cs="Times New Roman"/>
                <w:szCs w:val="24"/>
              </w:rPr>
              <w:t>Sternum</w:t>
            </w:r>
            <w:r>
              <w:rPr>
                <w:rFonts w:ascii="Times New Roman" w:hAnsi="Times New Roman" w:cs="Times New Roman"/>
              </w:rPr>
              <w:t>&amp;</w:t>
            </w:r>
            <w:r w:rsidRPr="005D5B46">
              <w:rPr>
                <w:rFonts w:ascii="Times New Roman" w:hAnsi="Times New Roman" w:cs="Times New Roman"/>
              </w:rPr>
              <w:t>Trachea</w:t>
            </w:r>
          </w:p>
        </w:tc>
        <w:tc>
          <w:tcPr>
            <w:tcW w:w="1629" w:type="dxa"/>
          </w:tcPr>
          <w:p w:rsidR="00A17E83" w:rsidRPr="004F0D7B" w:rsidRDefault="00A17E83" w:rsidP="004F0D7B">
            <w:pPr>
              <w:jc w:val="center"/>
              <w:rPr>
                <w:rFonts w:ascii="Times New Roman" w:hAnsi="Times New Roman" w:cs="Times New Roman"/>
                <w:b/>
                <w:szCs w:val="24"/>
                <w:lang w:val="pt-BR"/>
              </w:rPr>
            </w:pPr>
            <w:r w:rsidRPr="004F0D7B">
              <w:rPr>
                <w:rFonts w:ascii="Times New Roman" w:hAnsi="Times New Roman" w:cs="Times New Roman"/>
                <w:i/>
                <w:sz w:val="24"/>
                <w:szCs w:val="24"/>
                <w:lang w:val="pt-BR"/>
              </w:rPr>
              <w:t>Achnanthidium, Pinnularia, Cymbella, Gomphonema, Synedra</w:t>
            </w:r>
          </w:p>
        </w:tc>
        <w:tc>
          <w:tcPr>
            <w:tcW w:w="1260" w:type="dxa"/>
          </w:tcPr>
          <w:p w:rsidR="00A17E83" w:rsidRPr="00C45947" w:rsidRDefault="00BE0E1E" w:rsidP="004F0D7B">
            <w:pPr>
              <w:jc w:val="center"/>
              <w:rPr>
                <w:rFonts w:ascii="Times New Roman" w:hAnsi="Times New Roman" w:cs="Times New Roman"/>
                <w:b/>
                <w:szCs w:val="24"/>
              </w:rPr>
            </w:pPr>
            <w:r>
              <w:rPr>
                <w:rFonts w:ascii="Times New Roman" w:hAnsi="Times New Roman" w:cs="Times New Roman"/>
                <w:szCs w:val="24"/>
              </w:rPr>
              <w:t xml:space="preserve">Pond </w:t>
            </w:r>
            <w:r w:rsidR="00A17E83" w:rsidRPr="005D5B46">
              <w:rPr>
                <w:rFonts w:ascii="Times New Roman" w:hAnsi="Times New Roman" w:cs="Times New Roman"/>
                <w:szCs w:val="24"/>
              </w:rPr>
              <w:t xml:space="preserve">Water </w:t>
            </w:r>
          </w:p>
        </w:tc>
        <w:tc>
          <w:tcPr>
            <w:tcW w:w="2700" w:type="dxa"/>
          </w:tcPr>
          <w:p w:rsidR="00A17E83" w:rsidRPr="004F0D7B" w:rsidRDefault="00A17E83" w:rsidP="004F0D7B">
            <w:pPr>
              <w:jc w:val="center"/>
              <w:rPr>
                <w:rFonts w:ascii="Times New Roman" w:hAnsi="Times New Roman" w:cs="Times New Roman"/>
                <w:b/>
                <w:szCs w:val="24"/>
                <w:lang w:val="pt-BR"/>
              </w:rPr>
            </w:pPr>
            <w:r w:rsidRPr="004F0D7B">
              <w:rPr>
                <w:rFonts w:ascii="Times New Roman" w:hAnsi="Times New Roman" w:cs="Times New Roman"/>
                <w:i/>
                <w:lang w:val="pt-BR"/>
              </w:rPr>
              <w:t>Achnanthidium, Pinnularia,Cymbella, Gomphonema, Synedra</w:t>
            </w:r>
          </w:p>
        </w:tc>
        <w:tc>
          <w:tcPr>
            <w:tcW w:w="1710" w:type="dxa"/>
          </w:tcPr>
          <w:p w:rsidR="00A17E83" w:rsidRPr="00C45947" w:rsidRDefault="00A17E83" w:rsidP="004F0D7B">
            <w:pPr>
              <w:jc w:val="center"/>
              <w:rPr>
                <w:rFonts w:ascii="Times New Roman" w:hAnsi="Times New Roman" w:cs="Times New Roman"/>
                <w:b/>
                <w:szCs w:val="24"/>
              </w:rPr>
            </w:pPr>
            <w:r w:rsidRPr="005D5B46">
              <w:rPr>
                <w:rFonts w:ascii="Times New Roman" w:hAnsi="Times New Roman" w:cs="Times New Roman"/>
                <w:szCs w:val="24"/>
              </w:rPr>
              <w:t>Punch</w:t>
            </w:r>
            <w:r w:rsidR="00997A5E">
              <w:rPr>
                <w:rFonts w:ascii="Times New Roman" w:hAnsi="Times New Roman" w:cs="Times New Roman"/>
                <w:szCs w:val="24"/>
              </w:rPr>
              <w:t xml:space="preserve">, </w:t>
            </w:r>
            <w:r w:rsidRPr="005D5B46">
              <w:rPr>
                <w:rFonts w:ascii="Times New Roman" w:hAnsi="Times New Roman" w:cs="Times New Roman"/>
                <w:szCs w:val="24"/>
              </w:rPr>
              <w:t>J &amp; K</w:t>
            </w:r>
          </w:p>
        </w:tc>
      </w:tr>
      <w:tr w:rsidR="00A17E83" w:rsidTr="001D0B46">
        <w:tc>
          <w:tcPr>
            <w:tcW w:w="567" w:type="dxa"/>
          </w:tcPr>
          <w:p w:rsidR="00A17E83" w:rsidRPr="005D5B46" w:rsidRDefault="00A17E83" w:rsidP="004F0D7B">
            <w:pPr>
              <w:jc w:val="center"/>
              <w:rPr>
                <w:rFonts w:ascii="Times New Roman" w:hAnsi="Times New Roman" w:cs="Times New Roman"/>
                <w:szCs w:val="24"/>
              </w:rPr>
            </w:pPr>
            <w:r>
              <w:rPr>
                <w:rFonts w:ascii="Times New Roman" w:hAnsi="Times New Roman" w:cs="Times New Roman"/>
                <w:szCs w:val="24"/>
              </w:rPr>
              <w:t>2</w:t>
            </w:r>
          </w:p>
        </w:tc>
        <w:tc>
          <w:tcPr>
            <w:tcW w:w="1134" w:type="dxa"/>
          </w:tcPr>
          <w:p w:rsidR="00A17E83" w:rsidRPr="005D5B46" w:rsidRDefault="00A17E83" w:rsidP="004F0D7B">
            <w:pPr>
              <w:jc w:val="center"/>
              <w:rPr>
                <w:rFonts w:ascii="Times New Roman" w:hAnsi="Times New Roman" w:cs="Times New Roman"/>
                <w:szCs w:val="24"/>
              </w:rPr>
            </w:pPr>
            <w:r w:rsidRPr="005D5B46">
              <w:rPr>
                <w:rFonts w:ascii="Times New Roman" w:hAnsi="Times New Roman" w:cs="Times New Roman"/>
                <w:szCs w:val="24"/>
              </w:rPr>
              <w:t>Sternum</w:t>
            </w:r>
          </w:p>
        </w:tc>
        <w:tc>
          <w:tcPr>
            <w:tcW w:w="1629" w:type="dxa"/>
          </w:tcPr>
          <w:p w:rsidR="00A17E83" w:rsidRPr="004F0D7B" w:rsidRDefault="00A17E83" w:rsidP="004F0D7B">
            <w:pPr>
              <w:jc w:val="center"/>
              <w:rPr>
                <w:rFonts w:ascii="Times New Roman" w:hAnsi="Times New Roman" w:cs="Times New Roman"/>
                <w:szCs w:val="24"/>
                <w:lang w:val="pt-BR"/>
              </w:rPr>
            </w:pPr>
            <w:r w:rsidRPr="004F0D7B">
              <w:rPr>
                <w:rFonts w:ascii="Times New Roman" w:hAnsi="Times New Roman" w:cs="Times New Roman"/>
                <w:i/>
                <w:lang w:val="pt-BR"/>
              </w:rPr>
              <w:t xml:space="preserve">Navicula, Cyclotella </w:t>
            </w:r>
            <w:r w:rsidRPr="004F0D7B">
              <w:rPr>
                <w:rFonts w:ascii="Times New Roman" w:hAnsi="Times New Roman" w:cs="Times New Roman"/>
                <w:i/>
                <w:sz w:val="24"/>
                <w:szCs w:val="24"/>
                <w:lang w:val="pt-BR"/>
              </w:rPr>
              <w:lastRenderedPageBreak/>
              <w:t>meneghiniana</w:t>
            </w:r>
            <w:r w:rsidRPr="004F0D7B">
              <w:rPr>
                <w:rFonts w:ascii="Times New Roman" w:hAnsi="Times New Roman" w:cs="Times New Roman"/>
                <w:i/>
                <w:lang w:val="pt-BR"/>
              </w:rPr>
              <w:t>, Amphipleura  pellucida, Pinnularia, Melosira</w:t>
            </w:r>
          </w:p>
        </w:tc>
        <w:tc>
          <w:tcPr>
            <w:tcW w:w="1260" w:type="dxa"/>
          </w:tcPr>
          <w:p w:rsidR="00A17E83" w:rsidRPr="005D5B46" w:rsidRDefault="00BE0E1E" w:rsidP="004F0D7B">
            <w:pPr>
              <w:jc w:val="center"/>
              <w:rPr>
                <w:rFonts w:ascii="Times New Roman" w:hAnsi="Times New Roman" w:cs="Times New Roman"/>
                <w:szCs w:val="24"/>
              </w:rPr>
            </w:pPr>
            <w:r>
              <w:rPr>
                <w:rFonts w:ascii="Times New Roman" w:hAnsi="Times New Roman" w:cs="Times New Roman"/>
                <w:szCs w:val="24"/>
              </w:rPr>
              <w:lastRenderedPageBreak/>
              <w:t xml:space="preserve">Lake </w:t>
            </w:r>
            <w:r w:rsidR="00A17E83" w:rsidRPr="005D5B46">
              <w:rPr>
                <w:rFonts w:ascii="Times New Roman" w:hAnsi="Times New Roman" w:cs="Times New Roman"/>
                <w:szCs w:val="24"/>
              </w:rPr>
              <w:t xml:space="preserve">Water </w:t>
            </w:r>
          </w:p>
        </w:tc>
        <w:tc>
          <w:tcPr>
            <w:tcW w:w="2700" w:type="dxa"/>
          </w:tcPr>
          <w:p w:rsidR="00A17E83" w:rsidRPr="004F0D7B" w:rsidRDefault="00A17E83" w:rsidP="004F0D7B">
            <w:pPr>
              <w:jc w:val="center"/>
              <w:rPr>
                <w:rFonts w:ascii="Times New Roman" w:hAnsi="Times New Roman" w:cs="Times New Roman"/>
                <w:szCs w:val="24"/>
                <w:lang w:val="pt-BR"/>
              </w:rPr>
            </w:pPr>
            <w:r w:rsidRPr="004F0D7B">
              <w:rPr>
                <w:rFonts w:ascii="Times New Roman" w:hAnsi="Times New Roman" w:cs="Times New Roman"/>
                <w:i/>
                <w:lang w:val="pt-BR"/>
              </w:rPr>
              <w:t xml:space="preserve">Navicula, Cyclotella </w:t>
            </w:r>
            <w:r w:rsidRPr="004F0D7B">
              <w:rPr>
                <w:rFonts w:ascii="Times New Roman" w:hAnsi="Times New Roman" w:cs="Times New Roman"/>
                <w:i/>
                <w:sz w:val="24"/>
                <w:szCs w:val="24"/>
                <w:lang w:val="pt-BR"/>
              </w:rPr>
              <w:t>meneghiniana</w:t>
            </w:r>
            <w:r w:rsidRPr="004F0D7B">
              <w:rPr>
                <w:rFonts w:ascii="Times New Roman" w:hAnsi="Times New Roman" w:cs="Times New Roman"/>
                <w:i/>
                <w:lang w:val="pt-BR"/>
              </w:rPr>
              <w:t xml:space="preserve">, Pinnularia, </w:t>
            </w:r>
            <w:r w:rsidRPr="004F0D7B">
              <w:rPr>
                <w:rFonts w:ascii="Times New Roman" w:hAnsi="Times New Roman" w:cs="Times New Roman"/>
                <w:i/>
                <w:lang w:val="pt-BR"/>
              </w:rPr>
              <w:lastRenderedPageBreak/>
              <w:t>Cymbellaperfossilis, Melosira species, Amphipleura pellucida</w:t>
            </w:r>
          </w:p>
        </w:tc>
        <w:tc>
          <w:tcPr>
            <w:tcW w:w="1710" w:type="dxa"/>
          </w:tcPr>
          <w:p w:rsidR="00A17E83" w:rsidRPr="005D5B46" w:rsidRDefault="00A17E83" w:rsidP="004F0D7B">
            <w:pPr>
              <w:jc w:val="center"/>
              <w:rPr>
                <w:rFonts w:ascii="Times New Roman" w:hAnsi="Times New Roman" w:cs="Times New Roman"/>
                <w:szCs w:val="24"/>
              </w:rPr>
            </w:pPr>
            <w:r w:rsidRPr="005D5B46">
              <w:rPr>
                <w:rFonts w:ascii="Times New Roman" w:hAnsi="Times New Roman" w:cs="Times New Roman"/>
                <w:szCs w:val="24"/>
              </w:rPr>
              <w:lastRenderedPageBreak/>
              <w:t xml:space="preserve">Chandigarh </w:t>
            </w:r>
          </w:p>
        </w:tc>
      </w:tr>
      <w:tr w:rsidR="00A17E83" w:rsidTr="001D0B46">
        <w:tc>
          <w:tcPr>
            <w:tcW w:w="567" w:type="dxa"/>
          </w:tcPr>
          <w:p w:rsidR="00A17E83" w:rsidRPr="005D5B46" w:rsidRDefault="00A17E83" w:rsidP="004F0D7B">
            <w:pPr>
              <w:jc w:val="center"/>
              <w:rPr>
                <w:rFonts w:ascii="Times New Roman" w:hAnsi="Times New Roman" w:cs="Times New Roman"/>
                <w:szCs w:val="24"/>
              </w:rPr>
            </w:pPr>
            <w:r>
              <w:rPr>
                <w:rFonts w:ascii="Times New Roman" w:hAnsi="Times New Roman" w:cs="Times New Roman"/>
                <w:szCs w:val="24"/>
              </w:rPr>
              <w:lastRenderedPageBreak/>
              <w:t>3</w:t>
            </w:r>
          </w:p>
        </w:tc>
        <w:tc>
          <w:tcPr>
            <w:tcW w:w="1134" w:type="dxa"/>
          </w:tcPr>
          <w:p w:rsidR="00A17E83" w:rsidRPr="005D5B46" w:rsidRDefault="00A17E83" w:rsidP="004F0D7B">
            <w:pPr>
              <w:jc w:val="center"/>
              <w:rPr>
                <w:rFonts w:ascii="Times New Roman" w:hAnsi="Times New Roman" w:cs="Times New Roman"/>
              </w:rPr>
            </w:pPr>
            <w:r w:rsidRPr="005D5B46">
              <w:rPr>
                <w:rFonts w:ascii="Times New Roman" w:hAnsi="Times New Roman" w:cs="Times New Roman"/>
              </w:rPr>
              <w:t xml:space="preserve">Sternum </w:t>
            </w:r>
          </w:p>
        </w:tc>
        <w:tc>
          <w:tcPr>
            <w:tcW w:w="1629" w:type="dxa"/>
          </w:tcPr>
          <w:p w:rsidR="00A17E83" w:rsidRPr="004F0D7B" w:rsidRDefault="00A17E83" w:rsidP="004F0D7B">
            <w:pPr>
              <w:jc w:val="center"/>
              <w:rPr>
                <w:rFonts w:ascii="Times New Roman" w:hAnsi="Times New Roman" w:cs="Times New Roman"/>
                <w:szCs w:val="24"/>
                <w:lang w:val="pt-BR"/>
              </w:rPr>
            </w:pPr>
            <w:r w:rsidRPr="004F0D7B">
              <w:rPr>
                <w:rFonts w:ascii="Times New Roman" w:hAnsi="Times New Roman" w:cs="Times New Roman"/>
                <w:i/>
                <w:sz w:val="24"/>
                <w:szCs w:val="24"/>
                <w:lang w:val="pt-BR"/>
              </w:rPr>
              <w:t xml:space="preserve">Navicula, Hannaeaarcus, Nitzschia longissimi, Pinnularia, Amphipleura, </w:t>
            </w:r>
          </w:p>
        </w:tc>
        <w:tc>
          <w:tcPr>
            <w:tcW w:w="1260" w:type="dxa"/>
          </w:tcPr>
          <w:p w:rsidR="00A17E83" w:rsidRPr="005D5B46" w:rsidRDefault="00A17E83" w:rsidP="004F0D7B">
            <w:pPr>
              <w:jc w:val="center"/>
              <w:rPr>
                <w:rFonts w:ascii="Times New Roman" w:hAnsi="Times New Roman" w:cs="Times New Roman"/>
                <w:szCs w:val="24"/>
              </w:rPr>
            </w:pPr>
            <w:r w:rsidRPr="005D5B46">
              <w:rPr>
                <w:rFonts w:ascii="Times New Roman" w:hAnsi="Times New Roman" w:cs="Times New Roman"/>
                <w:szCs w:val="24"/>
              </w:rPr>
              <w:t>Water</w:t>
            </w:r>
            <w:r w:rsidR="00BE0E1E">
              <w:rPr>
                <w:rFonts w:ascii="Times New Roman" w:hAnsi="Times New Roman" w:cs="Times New Roman"/>
                <w:szCs w:val="24"/>
              </w:rPr>
              <w:t>Tank</w:t>
            </w:r>
          </w:p>
        </w:tc>
        <w:tc>
          <w:tcPr>
            <w:tcW w:w="2700" w:type="dxa"/>
          </w:tcPr>
          <w:p w:rsidR="00A17E83" w:rsidRPr="004F0D7B" w:rsidRDefault="00A17E83" w:rsidP="004F0D7B">
            <w:pPr>
              <w:jc w:val="center"/>
              <w:rPr>
                <w:rFonts w:ascii="Times New Roman" w:hAnsi="Times New Roman" w:cs="Times New Roman"/>
                <w:szCs w:val="24"/>
                <w:lang w:val="pt-BR"/>
              </w:rPr>
            </w:pPr>
            <w:r w:rsidRPr="004F0D7B">
              <w:rPr>
                <w:rFonts w:ascii="Times New Roman" w:hAnsi="Times New Roman" w:cs="Times New Roman"/>
                <w:i/>
                <w:szCs w:val="24"/>
                <w:lang w:val="pt-BR"/>
              </w:rPr>
              <w:t xml:space="preserve">Navicula, Hannaeaarcus, </w:t>
            </w:r>
            <w:r w:rsidRPr="004F0D7B">
              <w:rPr>
                <w:rFonts w:ascii="Times New Roman" w:hAnsi="Times New Roman" w:cs="Times New Roman"/>
                <w:i/>
                <w:sz w:val="24"/>
                <w:szCs w:val="24"/>
                <w:lang w:val="pt-BR"/>
              </w:rPr>
              <w:t>Nitzschia longissimi</w:t>
            </w:r>
            <w:r w:rsidRPr="004F0D7B">
              <w:rPr>
                <w:rFonts w:ascii="Times New Roman" w:hAnsi="Times New Roman" w:cs="Times New Roman"/>
                <w:i/>
                <w:szCs w:val="24"/>
                <w:lang w:val="pt-BR"/>
              </w:rPr>
              <w:t>, Pinnularia, Amphipleura</w:t>
            </w:r>
          </w:p>
        </w:tc>
        <w:tc>
          <w:tcPr>
            <w:tcW w:w="1710" w:type="dxa"/>
          </w:tcPr>
          <w:p w:rsidR="00A17E83" w:rsidRPr="005D5B46" w:rsidRDefault="00A17E83" w:rsidP="004F0D7B">
            <w:pPr>
              <w:jc w:val="center"/>
              <w:rPr>
                <w:rFonts w:ascii="Times New Roman" w:hAnsi="Times New Roman" w:cs="Times New Roman"/>
                <w:szCs w:val="24"/>
              </w:rPr>
            </w:pPr>
            <w:r w:rsidRPr="005D5B46">
              <w:rPr>
                <w:rFonts w:ascii="Times New Roman" w:hAnsi="Times New Roman" w:cs="Times New Roman"/>
                <w:szCs w:val="24"/>
              </w:rPr>
              <w:t>Rangat (Andaman &amp; Nicobar)</w:t>
            </w:r>
          </w:p>
        </w:tc>
      </w:tr>
      <w:tr w:rsidR="00A17E83" w:rsidTr="001D0B46">
        <w:tc>
          <w:tcPr>
            <w:tcW w:w="567" w:type="dxa"/>
          </w:tcPr>
          <w:p w:rsidR="00A17E83" w:rsidRPr="005D5B46" w:rsidRDefault="00A17E83" w:rsidP="004F0D7B">
            <w:pPr>
              <w:jc w:val="center"/>
              <w:rPr>
                <w:rFonts w:ascii="Times New Roman" w:hAnsi="Times New Roman" w:cs="Times New Roman"/>
                <w:szCs w:val="24"/>
              </w:rPr>
            </w:pPr>
            <w:r>
              <w:rPr>
                <w:rFonts w:ascii="Times New Roman" w:hAnsi="Times New Roman" w:cs="Times New Roman"/>
                <w:szCs w:val="24"/>
              </w:rPr>
              <w:t>4</w:t>
            </w:r>
          </w:p>
        </w:tc>
        <w:tc>
          <w:tcPr>
            <w:tcW w:w="1134" w:type="dxa"/>
          </w:tcPr>
          <w:p w:rsidR="00A17E83" w:rsidRPr="005D5B46" w:rsidRDefault="00A17E83" w:rsidP="004F0D7B">
            <w:pPr>
              <w:jc w:val="center"/>
              <w:rPr>
                <w:rFonts w:ascii="Times New Roman" w:hAnsi="Times New Roman" w:cs="Times New Roman"/>
              </w:rPr>
            </w:pPr>
            <w:r>
              <w:rPr>
                <w:rFonts w:ascii="Times New Roman" w:hAnsi="Times New Roman" w:cs="Times New Roman"/>
              </w:rPr>
              <w:t xml:space="preserve">Sternum </w:t>
            </w:r>
          </w:p>
        </w:tc>
        <w:tc>
          <w:tcPr>
            <w:tcW w:w="1629" w:type="dxa"/>
          </w:tcPr>
          <w:p w:rsidR="00A17E83" w:rsidRPr="005D5B46" w:rsidRDefault="00A17E83" w:rsidP="004F0D7B">
            <w:pPr>
              <w:jc w:val="center"/>
              <w:rPr>
                <w:rFonts w:ascii="Times New Roman" w:hAnsi="Times New Roman" w:cs="Times New Roman"/>
                <w:i/>
                <w:szCs w:val="24"/>
              </w:rPr>
            </w:pPr>
            <w:r w:rsidRPr="005D5B46">
              <w:rPr>
                <w:rFonts w:ascii="Times New Roman" w:hAnsi="Times New Roman" w:cs="Times New Roman"/>
                <w:i/>
                <w:szCs w:val="24"/>
              </w:rPr>
              <w:t>-</w:t>
            </w:r>
          </w:p>
        </w:tc>
        <w:tc>
          <w:tcPr>
            <w:tcW w:w="1260" w:type="dxa"/>
          </w:tcPr>
          <w:p w:rsidR="00A17E83" w:rsidRPr="005D5B46" w:rsidRDefault="00A17E83" w:rsidP="004F0D7B">
            <w:pPr>
              <w:jc w:val="center"/>
              <w:rPr>
                <w:rFonts w:ascii="Times New Roman" w:hAnsi="Times New Roman" w:cs="Times New Roman"/>
                <w:szCs w:val="24"/>
              </w:rPr>
            </w:pPr>
            <w:r w:rsidRPr="005D5B46">
              <w:rPr>
                <w:rFonts w:ascii="Times New Roman" w:hAnsi="Times New Roman" w:cs="Times New Roman"/>
                <w:szCs w:val="24"/>
              </w:rPr>
              <w:t>Water</w:t>
            </w:r>
            <w:r w:rsidR="00BE0E1E">
              <w:rPr>
                <w:rFonts w:ascii="Times New Roman" w:hAnsi="Times New Roman" w:cs="Times New Roman"/>
                <w:szCs w:val="24"/>
              </w:rPr>
              <w:t xml:space="preserve"> Well</w:t>
            </w:r>
          </w:p>
        </w:tc>
        <w:tc>
          <w:tcPr>
            <w:tcW w:w="2700" w:type="dxa"/>
          </w:tcPr>
          <w:p w:rsidR="00A17E83" w:rsidRPr="004F0D7B" w:rsidRDefault="00A17E83" w:rsidP="004F0D7B">
            <w:pPr>
              <w:jc w:val="center"/>
              <w:rPr>
                <w:rFonts w:ascii="Times New Roman" w:hAnsi="Times New Roman" w:cs="Times New Roman"/>
                <w:szCs w:val="30"/>
                <w:lang w:val="pt-BR"/>
              </w:rPr>
            </w:pPr>
            <w:r w:rsidRPr="004F0D7B">
              <w:rPr>
                <w:rFonts w:ascii="Times New Roman" w:hAnsi="Times New Roman" w:cs="Times New Roman"/>
                <w:i/>
                <w:sz w:val="24"/>
                <w:szCs w:val="24"/>
                <w:bdr w:val="none" w:sz="0" w:space="0" w:color="auto" w:frame="1"/>
                <w:lang w:val="pt-BR"/>
              </w:rPr>
              <w:t xml:space="preserve">Rhizosoleniaimbricata, Nitzschia longissimi </w:t>
            </w:r>
            <w:r w:rsidRPr="004F0D7B">
              <w:rPr>
                <w:rFonts w:ascii="Times New Roman" w:hAnsi="Times New Roman" w:cs="Times New Roman"/>
                <w:sz w:val="24"/>
                <w:szCs w:val="24"/>
                <w:bdr w:val="none" w:sz="0" w:space="0" w:color="auto" w:frame="1"/>
                <w:lang w:val="pt-BR"/>
              </w:rPr>
              <w:t>and</w:t>
            </w:r>
            <w:r w:rsidRPr="004F0D7B">
              <w:rPr>
                <w:rFonts w:ascii="Times New Roman" w:hAnsi="Times New Roman" w:cs="Times New Roman"/>
                <w:i/>
                <w:sz w:val="24"/>
                <w:szCs w:val="24"/>
                <w:bdr w:val="none" w:sz="0" w:space="0" w:color="auto" w:frame="1"/>
                <w:lang w:val="pt-BR"/>
              </w:rPr>
              <w:t>Navicula</w:t>
            </w:r>
            <w:r w:rsidRPr="004F0D7B">
              <w:rPr>
                <w:rFonts w:ascii="Times New Roman" w:hAnsi="Times New Roman" w:cs="Times New Roman"/>
                <w:i/>
                <w:szCs w:val="24"/>
                <w:lang w:val="pt-BR"/>
              </w:rPr>
              <w:t xml:space="preserve">, </w:t>
            </w:r>
            <w:r w:rsidRPr="004F0D7B">
              <w:rPr>
                <w:rFonts w:ascii="Times New Roman" w:hAnsi="Times New Roman" w:cs="Times New Roman"/>
                <w:szCs w:val="30"/>
                <w:lang w:val="pt-BR"/>
              </w:rPr>
              <w:t>Surirella elegans</w:t>
            </w:r>
          </w:p>
          <w:p w:rsidR="00A17E83" w:rsidRPr="004F0D7B" w:rsidRDefault="00A17E83" w:rsidP="004F0D7B">
            <w:pPr>
              <w:jc w:val="center"/>
              <w:rPr>
                <w:rFonts w:ascii="Times New Roman" w:hAnsi="Times New Roman" w:cs="Times New Roman"/>
                <w:i/>
                <w:szCs w:val="24"/>
                <w:lang w:val="pt-BR"/>
              </w:rPr>
            </w:pPr>
          </w:p>
        </w:tc>
        <w:tc>
          <w:tcPr>
            <w:tcW w:w="1710" w:type="dxa"/>
          </w:tcPr>
          <w:p w:rsidR="00A17E83" w:rsidRDefault="00997A5E" w:rsidP="004F0D7B">
            <w:pPr>
              <w:jc w:val="center"/>
              <w:rPr>
                <w:rFonts w:ascii="Times New Roman" w:hAnsi="Times New Roman" w:cs="Times New Roman"/>
                <w:szCs w:val="24"/>
              </w:rPr>
            </w:pPr>
            <w:r>
              <w:rPr>
                <w:rFonts w:ascii="Times New Roman" w:hAnsi="Times New Roman" w:cs="Times New Roman"/>
                <w:szCs w:val="24"/>
              </w:rPr>
              <w:t xml:space="preserve">Kanke, </w:t>
            </w:r>
            <w:r w:rsidR="00A17E83">
              <w:rPr>
                <w:rFonts w:ascii="Times New Roman" w:hAnsi="Times New Roman" w:cs="Times New Roman"/>
                <w:szCs w:val="24"/>
              </w:rPr>
              <w:t>Ranchi</w:t>
            </w:r>
            <w:r>
              <w:rPr>
                <w:rFonts w:ascii="Times New Roman" w:hAnsi="Times New Roman" w:cs="Times New Roman"/>
                <w:szCs w:val="24"/>
              </w:rPr>
              <w:t>,</w:t>
            </w:r>
          </w:p>
          <w:p w:rsidR="00997A5E" w:rsidRPr="005D5B46" w:rsidRDefault="00997A5E" w:rsidP="004F0D7B">
            <w:pPr>
              <w:jc w:val="center"/>
              <w:rPr>
                <w:rFonts w:ascii="Times New Roman" w:hAnsi="Times New Roman" w:cs="Times New Roman"/>
                <w:szCs w:val="24"/>
              </w:rPr>
            </w:pPr>
            <w:r>
              <w:rPr>
                <w:rFonts w:ascii="Times New Roman" w:hAnsi="Times New Roman" w:cs="Times New Roman"/>
                <w:szCs w:val="24"/>
              </w:rPr>
              <w:t>Jharkhand, India</w:t>
            </w:r>
          </w:p>
        </w:tc>
      </w:tr>
      <w:tr w:rsidR="00A17E83" w:rsidTr="001D0B46">
        <w:tc>
          <w:tcPr>
            <w:tcW w:w="567" w:type="dxa"/>
          </w:tcPr>
          <w:p w:rsidR="00A17E83" w:rsidRDefault="00A17E83" w:rsidP="004F0D7B">
            <w:pPr>
              <w:jc w:val="center"/>
              <w:rPr>
                <w:rFonts w:ascii="Times New Roman" w:hAnsi="Times New Roman" w:cs="Times New Roman"/>
                <w:szCs w:val="24"/>
              </w:rPr>
            </w:pPr>
            <w:r>
              <w:rPr>
                <w:rFonts w:ascii="Times New Roman" w:hAnsi="Times New Roman" w:cs="Times New Roman"/>
                <w:szCs w:val="24"/>
              </w:rPr>
              <w:t>5</w:t>
            </w:r>
          </w:p>
        </w:tc>
        <w:tc>
          <w:tcPr>
            <w:tcW w:w="1134" w:type="dxa"/>
          </w:tcPr>
          <w:p w:rsidR="00A17E83" w:rsidRPr="005D5B46" w:rsidRDefault="00A17E83" w:rsidP="004F0D7B">
            <w:pPr>
              <w:jc w:val="center"/>
              <w:rPr>
                <w:rFonts w:ascii="Times New Roman" w:hAnsi="Times New Roman" w:cs="Times New Roman"/>
              </w:rPr>
            </w:pPr>
            <w:r>
              <w:rPr>
                <w:rFonts w:ascii="Times New Roman" w:hAnsi="Times New Roman" w:cs="Times New Roman"/>
              </w:rPr>
              <w:t xml:space="preserve">Sternum </w:t>
            </w:r>
          </w:p>
        </w:tc>
        <w:tc>
          <w:tcPr>
            <w:tcW w:w="1629" w:type="dxa"/>
          </w:tcPr>
          <w:p w:rsidR="00A17E83" w:rsidRPr="004F0D7B" w:rsidRDefault="00A17E83" w:rsidP="004F0D7B">
            <w:pPr>
              <w:jc w:val="center"/>
              <w:rPr>
                <w:rFonts w:ascii="Times New Roman" w:hAnsi="Times New Roman" w:cs="Times New Roman"/>
                <w:szCs w:val="30"/>
                <w:lang w:val="pt-BR"/>
              </w:rPr>
            </w:pPr>
            <w:r w:rsidRPr="004F0D7B">
              <w:rPr>
                <w:rFonts w:ascii="Times New Roman" w:hAnsi="Times New Roman" w:cs="Times New Roman"/>
                <w:szCs w:val="30"/>
                <w:lang w:val="pt-BR"/>
              </w:rPr>
              <w:t>Navicula,Triceratium latus, Licmophora, Pinnulariaviridis, Gyrosigma, Licmophora, Surirella elegans</w:t>
            </w:r>
          </w:p>
          <w:p w:rsidR="00A17E83" w:rsidRPr="004F0D7B" w:rsidRDefault="00A17E83" w:rsidP="004F0D7B">
            <w:pPr>
              <w:jc w:val="center"/>
              <w:rPr>
                <w:rFonts w:ascii="Times New Roman" w:hAnsi="Times New Roman" w:cs="Times New Roman"/>
                <w:i/>
                <w:szCs w:val="24"/>
                <w:lang w:val="pt-BR"/>
              </w:rPr>
            </w:pPr>
          </w:p>
        </w:tc>
        <w:tc>
          <w:tcPr>
            <w:tcW w:w="1260" w:type="dxa"/>
          </w:tcPr>
          <w:p w:rsidR="00A17E83" w:rsidRPr="005D5B46" w:rsidRDefault="00A17E83" w:rsidP="004F0D7B">
            <w:pPr>
              <w:jc w:val="center"/>
              <w:rPr>
                <w:rFonts w:ascii="Times New Roman" w:hAnsi="Times New Roman" w:cs="Times New Roman"/>
                <w:szCs w:val="24"/>
              </w:rPr>
            </w:pPr>
            <w:r>
              <w:rPr>
                <w:rFonts w:ascii="Times New Roman" w:hAnsi="Times New Roman" w:cs="Times New Roman"/>
                <w:szCs w:val="24"/>
              </w:rPr>
              <w:t xml:space="preserve">Water </w:t>
            </w:r>
            <w:r w:rsidR="00BE0E1E">
              <w:rPr>
                <w:rFonts w:ascii="Times New Roman" w:hAnsi="Times New Roman" w:cs="Times New Roman"/>
                <w:szCs w:val="24"/>
              </w:rPr>
              <w:t>Well</w:t>
            </w:r>
          </w:p>
        </w:tc>
        <w:tc>
          <w:tcPr>
            <w:tcW w:w="2700" w:type="dxa"/>
          </w:tcPr>
          <w:p w:rsidR="00A17E83" w:rsidRPr="00861056" w:rsidRDefault="00A17E83" w:rsidP="004F0D7B">
            <w:pPr>
              <w:jc w:val="center"/>
              <w:rPr>
                <w:rFonts w:ascii="Times New Roman" w:hAnsi="Times New Roman" w:cs="Times New Roman"/>
                <w:szCs w:val="30"/>
              </w:rPr>
            </w:pPr>
            <w:r w:rsidRPr="00861056">
              <w:rPr>
                <w:rFonts w:ascii="Times New Roman" w:hAnsi="Times New Roman" w:cs="Times New Roman"/>
                <w:szCs w:val="30"/>
              </w:rPr>
              <w:t>Navicula</w:t>
            </w:r>
            <w:r>
              <w:rPr>
                <w:rFonts w:ascii="Times New Roman" w:hAnsi="Times New Roman" w:cs="Times New Roman"/>
                <w:szCs w:val="30"/>
              </w:rPr>
              <w:t xml:space="preserve">, </w:t>
            </w:r>
            <w:r w:rsidRPr="00861056">
              <w:rPr>
                <w:rFonts w:ascii="Times New Roman" w:hAnsi="Times New Roman" w:cs="Times New Roman"/>
                <w:szCs w:val="30"/>
              </w:rPr>
              <w:t>Pseudotriceratiumcinanomeum</w:t>
            </w:r>
            <w:r>
              <w:rPr>
                <w:rFonts w:ascii="Times New Roman" w:hAnsi="Times New Roman" w:cs="Times New Roman"/>
                <w:szCs w:val="30"/>
              </w:rPr>
              <w:t>,</w:t>
            </w:r>
            <w:r w:rsidRPr="00861056">
              <w:rPr>
                <w:rFonts w:ascii="Times New Roman" w:hAnsi="Times New Roman" w:cs="Times New Roman"/>
                <w:szCs w:val="30"/>
              </w:rPr>
              <w:t>Triceratium latus</w:t>
            </w:r>
            <w:r>
              <w:rPr>
                <w:rFonts w:ascii="Times New Roman" w:hAnsi="Times New Roman" w:cs="Times New Roman"/>
                <w:szCs w:val="30"/>
              </w:rPr>
              <w:t xml:space="preserve">, </w:t>
            </w:r>
            <w:r w:rsidRPr="00861056">
              <w:rPr>
                <w:rFonts w:ascii="Times New Roman" w:hAnsi="Times New Roman" w:cs="Times New Roman"/>
                <w:szCs w:val="30"/>
              </w:rPr>
              <w:t>Licmophora</w:t>
            </w:r>
            <w:r>
              <w:rPr>
                <w:rFonts w:ascii="Times New Roman" w:hAnsi="Times New Roman" w:cs="Times New Roman"/>
                <w:szCs w:val="30"/>
              </w:rPr>
              <w:t xml:space="preserve">, </w:t>
            </w:r>
            <w:r w:rsidRPr="00861056">
              <w:rPr>
                <w:rFonts w:ascii="Times New Roman" w:hAnsi="Times New Roman" w:cs="Times New Roman"/>
                <w:szCs w:val="30"/>
              </w:rPr>
              <w:t>Pinnulariaviridis</w:t>
            </w:r>
            <w:r>
              <w:rPr>
                <w:rFonts w:ascii="Times New Roman" w:hAnsi="Times New Roman" w:cs="Times New Roman"/>
                <w:szCs w:val="30"/>
              </w:rPr>
              <w:t xml:space="preserve">, </w:t>
            </w:r>
            <w:r w:rsidRPr="00861056">
              <w:rPr>
                <w:rFonts w:ascii="Times New Roman" w:hAnsi="Times New Roman" w:cs="Times New Roman"/>
                <w:szCs w:val="30"/>
              </w:rPr>
              <w:t>Gyrosigma</w:t>
            </w:r>
            <w:r>
              <w:rPr>
                <w:rFonts w:ascii="Times New Roman" w:hAnsi="Times New Roman" w:cs="Times New Roman"/>
                <w:szCs w:val="30"/>
              </w:rPr>
              <w:t xml:space="preserve">, </w:t>
            </w:r>
            <w:r w:rsidRPr="00861056">
              <w:rPr>
                <w:rFonts w:ascii="Times New Roman" w:hAnsi="Times New Roman" w:cs="Times New Roman"/>
                <w:szCs w:val="30"/>
              </w:rPr>
              <w:t>Licmophora</w:t>
            </w:r>
            <w:r>
              <w:rPr>
                <w:rFonts w:ascii="Times New Roman" w:hAnsi="Times New Roman" w:cs="Times New Roman"/>
                <w:szCs w:val="30"/>
              </w:rPr>
              <w:t xml:space="preserve">, </w:t>
            </w:r>
            <w:r w:rsidRPr="00861056">
              <w:rPr>
                <w:rFonts w:ascii="Times New Roman" w:hAnsi="Times New Roman" w:cs="Times New Roman"/>
                <w:szCs w:val="30"/>
              </w:rPr>
              <w:t>Surirella elegans</w:t>
            </w:r>
          </w:p>
          <w:p w:rsidR="00A17E83" w:rsidRPr="005D5B46" w:rsidRDefault="00A17E83" w:rsidP="004F0D7B">
            <w:pPr>
              <w:jc w:val="center"/>
              <w:rPr>
                <w:rFonts w:ascii="Times New Roman" w:hAnsi="Times New Roman" w:cs="Times New Roman"/>
                <w:i/>
                <w:szCs w:val="24"/>
                <w:bdr w:val="none" w:sz="0" w:space="0" w:color="auto" w:frame="1"/>
              </w:rPr>
            </w:pPr>
          </w:p>
        </w:tc>
        <w:tc>
          <w:tcPr>
            <w:tcW w:w="1710" w:type="dxa"/>
          </w:tcPr>
          <w:p w:rsidR="00997A5E" w:rsidRDefault="00A17E83" w:rsidP="004F0D7B">
            <w:pPr>
              <w:jc w:val="center"/>
              <w:rPr>
                <w:rFonts w:ascii="Times New Roman" w:hAnsi="Times New Roman" w:cs="Times New Roman"/>
                <w:szCs w:val="24"/>
              </w:rPr>
            </w:pPr>
            <w:r>
              <w:rPr>
                <w:rFonts w:ascii="Times New Roman" w:hAnsi="Times New Roman" w:cs="Times New Roman"/>
                <w:szCs w:val="24"/>
              </w:rPr>
              <w:t>Chainpur</w:t>
            </w:r>
            <w:r w:rsidR="00997A5E">
              <w:rPr>
                <w:rFonts w:ascii="Times New Roman" w:hAnsi="Times New Roman" w:cs="Times New Roman"/>
                <w:szCs w:val="24"/>
              </w:rPr>
              <w:t>,Ranchi,</w:t>
            </w:r>
          </w:p>
          <w:p w:rsidR="00A17E83" w:rsidRPr="005D5B46" w:rsidRDefault="00997A5E" w:rsidP="004F0D7B">
            <w:pPr>
              <w:jc w:val="center"/>
              <w:rPr>
                <w:rFonts w:ascii="Times New Roman" w:hAnsi="Times New Roman" w:cs="Times New Roman"/>
                <w:szCs w:val="24"/>
              </w:rPr>
            </w:pPr>
            <w:r>
              <w:rPr>
                <w:rFonts w:ascii="Times New Roman" w:hAnsi="Times New Roman" w:cs="Times New Roman"/>
                <w:szCs w:val="24"/>
              </w:rPr>
              <w:t>Jharkhand, India</w:t>
            </w:r>
          </w:p>
        </w:tc>
      </w:tr>
      <w:tr w:rsidR="00A17E83" w:rsidTr="001D0B46">
        <w:trPr>
          <w:trHeight w:val="2312"/>
        </w:trPr>
        <w:tc>
          <w:tcPr>
            <w:tcW w:w="567" w:type="dxa"/>
          </w:tcPr>
          <w:p w:rsidR="00A17E83" w:rsidRDefault="00A17E83" w:rsidP="004F0D7B">
            <w:pPr>
              <w:jc w:val="center"/>
              <w:rPr>
                <w:rFonts w:ascii="Times New Roman" w:hAnsi="Times New Roman" w:cs="Times New Roman"/>
                <w:szCs w:val="24"/>
              </w:rPr>
            </w:pPr>
            <w:r>
              <w:rPr>
                <w:rFonts w:ascii="Times New Roman" w:hAnsi="Times New Roman" w:cs="Times New Roman"/>
                <w:szCs w:val="24"/>
              </w:rPr>
              <w:t>6</w:t>
            </w:r>
          </w:p>
        </w:tc>
        <w:tc>
          <w:tcPr>
            <w:tcW w:w="1134" w:type="dxa"/>
          </w:tcPr>
          <w:p w:rsidR="00A17E83" w:rsidRPr="005D5B46" w:rsidRDefault="00A17E83" w:rsidP="004F0D7B">
            <w:pPr>
              <w:jc w:val="center"/>
              <w:rPr>
                <w:rFonts w:ascii="Times New Roman" w:hAnsi="Times New Roman" w:cs="Times New Roman"/>
              </w:rPr>
            </w:pPr>
            <w:r>
              <w:rPr>
                <w:rFonts w:ascii="Times New Roman" w:hAnsi="Times New Roman" w:cs="Times New Roman"/>
              </w:rPr>
              <w:t xml:space="preserve">Sternum </w:t>
            </w:r>
          </w:p>
        </w:tc>
        <w:tc>
          <w:tcPr>
            <w:tcW w:w="1629" w:type="dxa"/>
          </w:tcPr>
          <w:p w:rsidR="00A17E83" w:rsidRPr="004F0D7B" w:rsidRDefault="00A17E83" w:rsidP="004F0D7B">
            <w:pPr>
              <w:jc w:val="center"/>
              <w:rPr>
                <w:rFonts w:ascii="Times New Roman" w:hAnsi="Times New Roman" w:cs="Times New Roman"/>
                <w:szCs w:val="30"/>
                <w:lang w:val="pt-BR"/>
              </w:rPr>
            </w:pPr>
            <w:r w:rsidRPr="004F0D7B">
              <w:rPr>
                <w:rFonts w:ascii="Times New Roman" w:hAnsi="Times New Roman" w:cs="Times New Roman"/>
                <w:szCs w:val="30"/>
                <w:lang w:val="pt-BR"/>
              </w:rPr>
              <w:t>Pinnulariaviridis, Navicula, Surirella elegans, Pseudotriceratiumcinanomeum, Triceratium latus, Licmophora.</w:t>
            </w:r>
          </w:p>
          <w:p w:rsidR="00A17E83" w:rsidRPr="004F0D7B" w:rsidRDefault="00A17E83" w:rsidP="004F0D7B">
            <w:pPr>
              <w:jc w:val="center"/>
              <w:rPr>
                <w:rFonts w:ascii="Times New Roman" w:hAnsi="Times New Roman" w:cs="Times New Roman"/>
                <w:i/>
                <w:szCs w:val="24"/>
                <w:lang w:val="pt-BR"/>
              </w:rPr>
            </w:pPr>
          </w:p>
        </w:tc>
        <w:tc>
          <w:tcPr>
            <w:tcW w:w="1260" w:type="dxa"/>
          </w:tcPr>
          <w:p w:rsidR="00A17E83" w:rsidRPr="005D5B46" w:rsidRDefault="00A17E83" w:rsidP="004F0D7B">
            <w:pPr>
              <w:jc w:val="center"/>
              <w:rPr>
                <w:rFonts w:ascii="Times New Roman" w:hAnsi="Times New Roman" w:cs="Times New Roman"/>
                <w:szCs w:val="24"/>
              </w:rPr>
            </w:pPr>
            <w:r>
              <w:rPr>
                <w:rFonts w:ascii="Times New Roman" w:hAnsi="Times New Roman" w:cs="Times New Roman"/>
                <w:szCs w:val="24"/>
              </w:rPr>
              <w:t xml:space="preserve">Water </w:t>
            </w:r>
            <w:r w:rsidR="00BE0E1E">
              <w:rPr>
                <w:rFonts w:ascii="Times New Roman" w:hAnsi="Times New Roman" w:cs="Times New Roman"/>
                <w:szCs w:val="24"/>
              </w:rPr>
              <w:t>Well</w:t>
            </w:r>
          </w:p>
        </w:tc>
        <w:tc>
          <w:tcPr>
            <w:tcW w:w="2700" w:type="dxa"/>
          </w:tcPr>
          <w:p w:rsidR="00A17E83" w:rsidRPr="00861056" w:rsidRDefault="00A17E83" w:rsidP="004F0D7B">
            <w:pPr>
              <w:jc w:val="center"/>
              <w:rPr>
                <w:rFonts w:ascii="Times New Roman" w:hAnsi="Times New Roman" w:cs="Times New Roman"/>
                <w:szCs w:val="30"/>
              </w:rPr>
            </w:pPr>
            <w:r w:rsidRPr="00861056">
              <w:rPr>
                <w:rFonts w:ascii="Times New Roman" w:hAnsi="Times New Roman" w:cs="Times New Roman"/>
                <w:szCs w:val="30"/>
              </w:rPr>
              <w:t>Pinnulariaviridis</w:t>
            </w:r>
            <w:r>
              <w:rPr>
                <w:rFonts w:ascii="Times New Roman" w:hAnsi="Times New Roman" w:cs="Times New Roman"/>
                <w:szCs w:val="30"/>
              </w:rPr>
              <w:t xml:space="preserve">, </w:t>
            </w:r>
            <w:r w:rsidRPr="00861056">
              <w:rPr>
                <w:rFonts w:ascii="Times New Roman" w:hAnsi="Times New Roman" w:cs="Times New Roman"/>
                <w:szCs w:val="30"/>
              </w:rPr>
              <w:t>Navicula</w:t>
            </w:r>
            <w:r>
              <w:rPr>
                <w:rFonts w:ascii="Times New Roman" w:hAnsi="Times New Roman" w:cs="Times New Roman"/>
                <w:szCs w:val="30"/>
              </w:rPr>
              <w:t xml:space="preserve">, </w:t>
            </w:r>
            <w:r w:rsidRPr="00861056">
              <w:rPr>
                <w:rFonts w:ascii="Times New Roman" w:hAnsi="Times New Roman" w:cs="Times New Roman"/>
                <w:szCs w:val="30"/>
              </w:rPr>
              <w:t>Surirella elegans</w:t>
            </w:r>
            <w:r>
              <w:rPr>
                <w:rFonts w:ascii="Times New Roman" w:hAnsi="Times New Roman" w:cs="Times New Roman"/>
                <w:szCs w:val="30"/>
              </w:rPr>
              <w:t xml:space="preserve">, </w:t>
            </w:r>
            <w:r w:rsidRPr="00861056">
              <w:rPr>
                <w:rFonts w:ascii="Times New Roman" w:hAnsi="Times New Roman" w:cs="Times New Roman"/>
                <w:szCs w:val="30"/>
              </w:rPr>
              <w:t>Gyrosigma</w:t>
            </w:r>
            <w:r>
              <w:rPr>
                <w:rFonts w:ascii="Times New Roman" w:hAnsi="Times New Roman" w:cs="Times New Roman"/>
                <w:szCs w:val="30"/>
              </w:rPr>
              <w:t xml:space="preserve">, </w:t>
            </w:r>
            <w:r w:rsidRPr="00861056">
              <w:rPr>
                <w:rFonts w:ascii="Times New Roman" w:hAnsi="Times New Roman" w:cs="Times New Roman"/>
                <w:szCs w:val="30"/>
              </w:rPr>
              <w:t>Pseudotriceratiumcinanomeum</w:t>
            </w:r>
            <w:r>
              <w:rPr>
                <w:rFonts w:ascii="Times New Roman" w:hAnsi="Times New Roman" w:cs="Times New Roman"/>
                <w:szCs w:val="30"/>
              </w:rPr>
              <w:t xml:space="preserve">, </w:t>
            </w:r>
            <w:r w:rsidRPr="00861056">
              <w:rPr>
                <w:rFonts w:ascii="Times New Roman" w:hAnsi="Times New Roman" w:cs="Times New Roman"/>
                <w:szCs w:val="30"/>
              </w:rPr>
              <w:t>Triceratium latus</w:t>
            </w:r>
            <w:r>
              <w:rPr>
                <w:rFonts w:ascii="Times New Roman" w:hAnsi="Times New Roman" w:cs="Times New Roman"/>
                <w:szCs w:val="30"/>
              </w:rPr>
              <w:t xml:space="preserve">, </w:t>
            </w:r>
            <w:r w:rsidRPr="00861056">
              <w:rPr>
                <w:rFonts w:ascii="Times New Roman" w:hAnsi="Times New Roman" w:cs="Times New Roman"/>
                <w:szCs w:val="30"/>
              </w:rPr>
              <w:t>Licmophora</w:t>
            </w:r>
            <w:r>
              <w:rPr>
                <w:rFonts w:ascii="Times New Roman" w:hAnsi="Times New Roman" w:cs="Times New Roman"/>
                <w:szCs w:val="30"/>
              </w:rPr>
              <w:t xml:space="preserve">, </w:t>
            </w:r>
            <w:r w:rsidRPr="00861056">
              <w:rPr>
                <w:rFonts w:ascii="Times New Roman" w:hAnsi="Times New Roman" w:cs="Times New Roman"/>
                <w:szCs w:val="30"/>
              </w:rPr>
              <w:t>Naviculaelsoniana</w:t>
            </w:r>
            <w:r>
              <w:rPr>
                <w:rFonts w:ascii="Times New Roman" w:hAnsi="Times New Roman" w:cs="Times New Roman"/>
                <w:szCs w:val="30"/>
              </w:rPr>
              <w:t xml:space="preserve">, </w:t>
            </w:r>
            <w:r w:rsidRPr="00861056">
              <w:rPr>
                <w:rFonts w:ascii="Times New Roman" w:hAnsi="Times New Roman" w:cs="Times New Roman"/>
                <w:szCs w:val="30"/>
              </w:rPr>
              <w:t>Licmophora</w:t>
            </w:r>
            <w:r>
              <w:rPr>
                <w:rFonts w:ascii="Times New Roman" w:hAnsi="Times New Roman" w:cs="Times New Roman"/>
                <w:szCs w:val="30"/>
              </w:rPr>
              <w:t xml:space="preserve">, </w:t>
            </w:r>
          </w:p>
          <w:p w:rsidR="00A17E83" w:rsidRPr="00861056" w:rsidRDefault="00A17E83" w:rsidP="004F0D7B">
            <w:pPr>
              <w:jc w:val="center"/>
              <w:rPr>
                <w:rFonts w:ascii="Times New Roman" w:hAnsi="Times New Roman" w:cs="Times New Roman"/>
                <w:szCs w:val="30"/>
              </w:rPr>
            </w:pPr>
          </w:p>
          <w:p w:rsidR="00A17E83" w:rsidRPr="005D5B46" w:rsidRDefault="00A17E83" w:rsidP="004F0D7B">
            <w:pPr>
              <w:jc w:val="center"/>
              <w:rPr>
                <w:rFonts w:ascii="Times New Roman" w:hAnsi="Times New Roman" w:cs="Times New Roman"/>
                <w:i/>
                <w:szCs w:val="24"/>
                <w:bdr w:val="none" w:sz="0" w:space="0" w:color="auto" w:frame="1"/>
              </w:rPr>
            </w:pPr>
          </w:p>
        </w:tc>
        <w:tc>
          <w:tcPr>
            <w:tcW w:w="1710" w:type="dxa"/>
          </w:tcPr>
          <w:p w:rsidR="00A17E83" w:rsidRPr="005D5B46" w:rsidRDefault="00A17E83" w:rsidP="004F0D7B">
            <w:pPr>
              <w:jc w:val="center"/>
              <w:rPr>
                <w:rFonts w:ascii="Times New Roman" w:hAnsi="Times New Roman" w:cs="Times New Roman"/>
                <w:szCs w:val="24"/>
              </w:rPr>
            </w:pPr>
            <w:r>
              <w:rPr>
                <w:rFonts w:ascii="Times New Roman" w:hAnsi="Times New Roman" w:cs="Times New Roman"/>
                <w:szCs w:val="24"/>
              </w:rPr>
              <w:t>Daltonjganj</w:t>
            </w:r>
            <w:r w:rsidR="00997A5E">
              <w:rPr>
                <w:rFonts w:ascii="Times New Roman" w:hAnsi="Times New Roman" w:cs="Times New Roman"/>
                <w:szCs w:val="24"/>
              </w:rPr>
              <w:t>, Jharkhand, India</w:t>
            </w:r>
          </w:p>
        </w:tc>
      </w:tr>
    </w:tbl>
    <w:p w:rsidR="002F24DA" w:rsidRPr="00F642E1" w:rsidRDefault="00DD2823" w:rsidP="004F0D7B">
      <w:pPr>
        <w:spacing w:line="240" w:lineRule="auto"/>
        <w:jc w:val="both"/>
        <w:rPr>
          <w:rFonts w:ascii="Times New Roman" w:hAnsi="Times New Roman" w:cs="Times New Roman"/>
          <w:sz w:val="24"/>
          <w:szCs w:val="24"/>
        </w:rPr>
      </w:pPr>
      <w:r w:rsidRPr="00E85223">
        <w:rPr>
          <w:rFonts w:ascii="Times New Roman" w:hAnsi="Times New Roman" w:cs="Times New Roman"/>
          <w:sz w:val="24"/>
          <w:szCs w:val="24"/>
        </w:rPr>
        <w:t xml:space="preserve">From </w:t>
      </w:r>
      <w:r w:rsidR="00287D0A">
        <w:rPr>
          <w:rFonts w:ascii="Times New Roman" w:hAnsi="Times New Roman" w:cs="Times New Roman"/>
          <w:sz w:val="24"/>
          <w:szCs w:val="24"/>
        </w:rPr>
        <w:t xml:space="preserve">the </w:t>
      </w:r>
      <w:r w:rsidRPr="00E85223">
        <w:rPr>
          <w:rFonts w:ascii="Times New Roman" w:hAnsi="Times New Roman" w:cs="Times New Roman"/>
          <w:sz w:val="24"/>
          <w:szCs w:val="24"/>
        </w:rPr>
        <w:t xml:space="preserve">finding of the examination of evidence in </w:t>
      </w:r>
      <w:r w:rsidR="00287D0A">
        <w:rPr>
          <w:rFonts w:ascii="Times New Roman" w:hAnsi="Times New Roman" w:cs="Times New Roman"/>
          <w:sz w:val="24"/>
          <w:szCs w:val="24"/>
        </w:rPr>
        <w:t xml:space="preserve">the </w:t>
      </w:r>
      <w:r w:rsidRPr="00E85223">
        <w:rPr>
          <w:rFonts w:ascii="Times New Roman" w:hAnsi="Times New Roman" w:cs="Times New Roman"/>
          <w:sz w:val="24"/>
          <w:szCs w:val="24"/>
        </w:rPr>
        <w:t>above table</w:t>
      </w:r>
      <w:r w:rsidR="00287D0A">
        <w:rPr>
          <w:rFonts w:ascii="Times New Roman" w:hAnsi="Times New Roman" w:cs="Times New Roman"/>
          <w:sz w:val="24"/>
          <w:szCs w:val="24"/>
        </w:rPr>
        <w:t>,</w:t>
      </w:r>
      <w:r w:rsidRPr="00E85223">
        <w:rPr>
          <w:rFonts w:ascii="Times New Roman" w:hAnsi="Times New Roman" w:cs="Times New Roman"/>
          <w:sz w:val="24"/>
          <w:szCs w:val="24"/>
        </w:rPr>
        <w:t xml:space="preserve"> it is evident that </w:t>
      </w:r>
      <w:r w:rsidR="00287D0A">
        <w:rPr>
          <w:rFonts w:ascii="Times New Roman" w:hAnsi="Times New Roman" w:cs="Times New Roman"/>
          <w:sz w:val="24"/>
          <w:szCs w:val="24"/>
        </w:rPr>
        <w:t xml:space="preserve">the </w:t>
      </w:r>
      <w:r w:rsidRPr="00E85223">
        <w:rPr>
          <w:rFonts w:ascii="Times New Roman" w:hAnsi="Times New Roman" w:cs="Times New Roman"/>
          <w:sz w:val="24"/>
          <w:szCs w:val="24"/>
        </w:rPr>
        <w:t>microscopic examination under 100X resolution was found to be morphologically similar.</w:t>
      </w:r>
    </w:p>
    <w:p w:rsidR="00F642E1" w:rsidRDefault="00F642E1" w:rsidP="004F0D7B">
      <w:pPr>
        <w:pStyle w:val="ListParagraph1"/>
        <w:spacing w:line="240" w:lineRule="auto"/>
        <w:ind w:left="0"/>
        <w:jc w:val="both"/>
        <w:rPr>
          <w:rFonts w:ascii="Times New Roman" w:hAnsi="Times New Roman"/>
          <w:sz w:val="24"/>
          <w:szCs w:val="24"/>
        </w:rPr>
      </w:pPr>
    </w:p>
    <w:p w:rsidR="003240B5" w:rsidRDefault="002D42F9" w:rsidP="004F0D7B">
      <w:pPr>
        <w:pStyle w:val="ListParagraph1"/>
        <w:spacing w:line="240" w:lineRule="auto"/>
        <w:ind w:left="0"/>
        <w:jc w:val="both"/>
        <w:rPr>
          <w:rFonts w:ascii="Times New Roman" w:hAnsi="Times New Roman"/>
          <w:b/>
          <w:sz w:val="24"/>
          <w:szCs w:val="24"/>
        </w:rPr>
      </w:pPr>
      <w:r>
        <w:rPr>
          <w:rFonts w:ascii="Times New Roman" w:hAnsi="Times New Roman"/>
          <w:b/>
          <w:sz w:val="24"/>
          <w:szCs w:val="24"/>
        </w:rPr>
        <w:t>DISCUSSION</w:t>
      </w:r>
    </w:p>
    <w:p w:rsidR="00DA496E" w:rsidRDefault="00DA496E" w:rsidP="004F0D7B">
      <w:pPr>
        <w:pStyle w:val="NormalWeb"/>
        <w:jc w:val="both"/>
      </w:pPr>
      <w:r>
        <w:t>The forensic diagnosis of drowning remains inherently complex, particularly in cases involving advanced decomposition or limited circumstantial evidence. The findings discussed in this study reinforce the well-established role of diatoms as valuable adjunctive markers in the interpretation of drowning deaths. Diatoms, owing to their rigid siliceous frustules, demonstrate remarkable resistance to postmortem degradation, allowing their detection even in severely decomposed remains. This property significantly enhances their forensic relevance when conventional autopsy indicators are obscured.</w:t>
      </w:r>
    </w:p>
    <w:p w:rsidR="00DA496E" w:rsidRDefault="00DA496E" w:rsidP="004F0D7B">
      <w:pPr>
        <w:pStyle w:val="NormalWeb"/>
        <w:jc w:val="both"/>
      </w:pPr>
      <w:r>
        <w:t xml:space="preserve">The ecological specificity of diatom assemblages provides a scientific basis for correlating tissue-recovered diatoms with those from suspected drowning sites. Variations in nutrient composition, physicochemical characteristics, and environmental conditions contribute to water body–specific diatom profiles, enabling forensic investigators to associate a body with a probable site of drowning. The present observations are consistent with earlier studies </w:t>
      </w:r>
      <w:r w:rsidR="002D42F9">
        <w:t>emphasising</w:t>
      </w:r>
      <w:r>
        <w:t xml:space="preserve"> the value of comparative diatom profiling for geographic source attribution in drowning cases</w:t>
      </w:r>
      <w:r w:rsidR="002D42F9">
        <w:t>.</w:t>
      </w:r>
      <w:r w:rsidR="00BC161A" w:rsidRPr="00BB7260">
        <w:rPr>
          <w:vertAlign w:val="superscript"/>
        </w:rPr>
        <w:t>7</w:t>
      </w:r>
    </w:p>
    <w:p w:rsidR="00DA496E" w:rsidRDefault="00DA496E" w:rsidP="004F0D7B">
      <w:pPr>
        <w:pStyle w:val="NormalWeb"/>
        <w:jc w:val="both"/>
      </w:pPr>
      <w:r>
        <w:lastRenderedPageBreak/>
        <w:t>Previous research has demonstrated that the presence of diatoms in distant organs and bone marrow is indicative of antemortem aspiration and systemic dissemination via active circulation. Timperman (1962) was among the first to establish the diagnostic importance of detecting diatoms in bone marrow and vital organs</w:t>
      </w:r>
      <w:r w:rsidR="002D42F9">
        <w:t>.</w:t>
      </w:r>
      <w:r w:rsidR="00BC161A" w:rsidRPr="00BB7260">
        <w:rPr>
          <w:vertAlign w:val="superscript"/>
        </w:rPr>
        <w:t>8</w:t>
      </w:r>
      <w:r>
        <w:t xml:space="preserve"> Subsequent studies by Pollanen (1998)</w:t>
      </w:r>
      <w:r w:rsidR="00BC161A" w:rsidRPr="00BB7260">
        <w:rPr>
          <w:vertAlign w:val="superscript"/>
        </w:rPr>
        <w:t>2</w:t>
      </w:r>
      <w:r w:rsidR="00BC161A">
        <w:rPr>
          <w:vertAlign w:val="superscript"/>
        </w:rPr>
        <w:t xml:space="preserve"> </w:t>
      </w:r>
      <w:r>
        <w:t>and Singh et al. (2006)</w:t>
      </w:r>
      <w:r w:rsidR="00BC161A" w:rsidRPr="00BB7260">
        <w:rPr>
          <w:vertAlign w:val="superscript"/>
        </w:rPr>
        <w:t>9</w:t>
      </w:r>
      <w:r>
        <w:t xml:space="preserve"> further validated the reliability of acid digestion–based recovery methods. The current findings support these conclusions, particularly regarding the forensic utility of sternum and femur bone as optimal substrates for diatom detection.</w:t>
      </w:r>
    </w:p>
    <w:p w:rsidR="00DA496E" w:rsidRDefault="00DA496E" w:rsidP="004F0D7B">
      <w:pPr>
        <w:pStyle w:val="NormalWeb"/>
        <w:jc w:val="both"/>
      </w:pPr>
      <w:r>
        <w:t xml:space="preserve">Despite the long-standing recognition of the diatom test, its routine application remains confined to </w:t>
      </w:r>
      <w:r w:rsidR="002D42F9">
        <w:t>specialised</w:t>
      </w:r>
      <w:r>
        <w:t xml:space="preserve"> forensic laboratories. Limited availability of </w:t>
      </w:r>
      <w:r w:rsidR="002D42F9">
        <w:t>standardised</w:t>
      </w:r>
      <w:r>
        <w:t xml:space="preserve"> reference databases, lack of trained personnel, and the technically demanding nature of tissue digestion and microscopic identification have restricted its broader implementation, especially in resource-constrained settings. Within the Indian forensic context, only a limited number of laboratories routinely perform diatom analysis, although recent reports</w:t>
      </w:r>
      <w:r w:rsidR="00BC161A" w:rsidRPr="00BB7260">
        <w:rPr>
          <w:vertAlign w:val="superscript"/>
        </w:rPr>
        <w:t>10</w:t>
      </w:r>
      <w:r w:rsidR="002D42F9" w:rsidRPr="00BB7260">
        <w:rPr>
          <w:vertAlign w:val="superscript"/>
        </w:rPr>
        <w:t>,1</w:t>
      </w:r>
      <w:r w:rsidR="00BC161A" w:rsidRPr="00BB7260">
        <w:rPr>
          <w:vertAlign w:val="superscript"/>
        </w:rPr>
        <w:t>1,12</w:t>
      </w:r>
      <w:r>
        <w:t xml:space="preserve"> demonstrate increasing acceptance of this technique in medico-legal investigations.</w:t>
      </w:r>
      <w:r w:rsidR="00BC161A">
        <w:t xml:space="preserve"> </w:t>
      </w:r>
      <w:r>
        <w:t>An important limitation highlighted in both the literature and the present study is the possibility of false-negative results. The absence of diatoms in tissue samples does not unequivocally exclude drowning. Factors such as low diatom density in the drowning medium, rapid death due to neurogenic shock or vagal inhibition, and technical losses during sample processing can all contribute to negative findings. Therefore, diatom evidence should always be interpreted in conjunction with autopsy findings, toxicological results, and circumstantial evidence.</w:t>
      </w:r>
    </w:p>
    <w:p w:rsidR="00DA496E" w:rsidRDefault="00DA496E" w:rsidP="004F0D7B">
      <w:pPr>
        <w:pStyle w:val="NormalWeb"/>
        <w:jc w:val="both"/>
      </w:pPr>
      <w:r>
        <w:t>The generally accepted quantitative thresholds proposed by Ludes et al. (1996)</w:t>
      </w:r>
      <w:r w:rsidR="00BC161A" w:rsidRPr="00BB7260">
        <w:rPr>
          <w:vertAlign w:val="superscript"/>
        </w:rPr>
        <w:t>4</w:t>
      </w:r>
      <w:r>
        <w:t xml:space="preserve"> including the detection of ≥20 diatoms per 100 µL pellet from lung tissue and ≥5 diatoms from </w:t>
      </w:r>
      <w:r w:rsidR="00BC161A">
        <w:t>bone samples</w:t>
      </w:r>
      <w:r w:rsidR="002D42F9">
        <w:t>,</w:t>
      </w:r>
      <w:r>
        <w:t xml:space="preserve"> provide useful guidance for interpretation; however, strict reliance on numerical cut-offs may not be universally applicable due to ecological and methodological variability. Future directions should focus on developing </w:t>
      </w:r>
      <w:r w:rsidR="002D42F9">
        <w:t>standardised</w:t>
      </w:r>
      <w:r>
        <w:t xml:space="preserve"> protocols, expanding regional diatom reference databases, and incorporating molecular and automated imaging techniques to improve the specificity, sensitivity, and reproducibility of forensic diatom analysis.</w:t>
      </w:r>
    </w:p>
    <w:p w:rsidR="00DA496E" w:rsidRDefault="00DA496E" w:rsidP="004F0D7B">
      <w:pPr>
        <w:pStyle w:val="NormalWeb"/>
        <w:jc w:val="both"/>
      </w:pPr>
      <w:r>
        <w:t xml:space="preserve">In summary, this study reinforces the medico-legal significance of diatom testing as a supportive tool for differentiating antemortem drowning from postmortem immersion and for assisting in the </w:t>
      </w:r>
      <w:r w:rsidR="002D42F9">
        <w:t>localisation</w:t>
      </w:r>
      <w:r>
        <w:t xml:space="preserve"> of drowning sites when used alongside comprehensive forensic investigation.</w:t>
      </w:r>
    </w:p>
    <w:p w:rsidR="003240B5" w:rsidRDefault="003240B5" w:rsidP="004F0D7B">
      <w:pPr>
        <w:spacing w:line="240" w:lineRule="auto"/>
        <w:jc w:val="both"/>
        <w:rPr>
          <w:rFonts w:ascii="Times New Roman" w:hAnsi="Times New Roman" w:cs="Times New Roman"/>
          <w:b/>
          <w:sz w:val="24"/>
          <w:szCs w:val="24"/>
        </w:rPr>
      </w:pPr>
      <w:r w:rsidRPr="003240B5">
        <w:rPr>
          <w:rFonts w:ascii="Times New Roman" w:hAnsi="Times New Roman" w:cs="Times New Roman"/>
          <w:b/>
          <w:sz w:val="24"/>
          <w:szCs w:val="24"/>
        </w:rPr>
        <w:t>CONCLUSION</w:t>
      </w:r>
    </w:p>
    <w:p w:rsidR="00DA496E" w:rsidRDefault="00DA496E" w:rsidP="004F0D7B">
      <w:pPr>
        <w:pStyle w:val="NormalWeb"/>
        <w:jc w:val="both"/>
      </w:pPr>
      <w:r>
        <w:t xml:space="preserve">In the present case series, diatom analysis played a pivotal role in establishing both the cause of death and the probable site of drowning. The findings support the forensic value of diatoms as reliable trace evidence in the diagnosis of drowning. The detection of diatoms in internal organs, particularly within the sternum and long bone marrow, strongly supported the interpretation of antemortem drowning. Furthermore, concordance between diatom assemblages recovered from </w:t>
      </w:r>
      <w:r w:rsidR="00BC161A">
        <w:t>bone</w:t>
      </w:r>
      <w:r>
        <w:t xml:space="preserve"> samples and those isolated from reference water sources suggested that the site of drowning was consistent with the location from which the bodies were recovered.</w:t>
      </w:r>
    </w:p>
    <w:p w:rsidR="00CA0249" w:rsidRDefault="00DA496E" w:rsidP="004F0D7B">
      <w:pPr>
        <w:pStyle w:val="NormalWeb"/>
        <w:jc w:val="both"/>
      </w:pPr>
      <w:r>
        <w:t xml:space="preserve">The results of this study underscore the importance of incorporating diatom testing into routine forensic casework, particularly in cases involving decomposed bodies and equivocal autopsy findings. The establishment of regional diatomological maps of water bodies is strongly recommended to provide </w:t>
      </w:r>
      <w:r w:rsidR="002D42F9">
        <w:t>standardised</w:t>
      </w:r>
      <w:r>
        <w:t xml:space="preserve"> reference databases for site-specific comparisons in medico-legal investigations. Drowning remains one of the most challenging diagnoses in forensic pathology; however, the recovery of diatoms from bone </w:t>
      </w:r>
      <w:r w:rsidR="00BC161A">
        <w:t xml:space="preserve">samples </w:t>
      </w:r>
      <w:r>
        <w:t>provides valuable supportive evidence for determining the cause of death.</w:t>
      </w:r>
      <w:r w:rsidR="00BC161A">
        <w:t xml:space="preserve"> </w:t>
      </w:r>
    </w:p>
    <w:p w:rsidR="00DA496E" w:rsidRDefault="00DA496E" w:rsidP="004F0D7B">
      <w:pPr>
        <w:pStyle w:val="NormalWeb"/>
        <w:jc w:val="both"/>
      </w:pPr>
      <w:r>
        <w:lastRenderedPageBreak/>
        <w:t>Variations in diatom diversity observed across cases were likely attributable to geographical and environmental differences among water bodies. Given the increasing number of cases involving drowning, disposal of bodies in water, and site-specific diatom analysis of unidentified remains, meticulous examination and cautious interpretation of diatom test results are essential. Diatom evidence should always be evaluated in conjunction with autopsy findings and circumstantial data to ensure accurate medico-legal conclusions.</w:t>
      </w:r>
    </w:p>
    <w:p w:rsidR="003240B5" w:rsidRDefault="003240B5" w:rsidP="004F0D7B">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rsidR="004A60A3" w:rsidRDefault="00CA0249" w:rsidP="00B7053A">
      <w:pPr>
        <w:pStyle w:val="NormalWeb"/>
        <w:jc w:val="both"/>
      </w:pPr>
      <w:r>
        <w:t xml:space="preserve">1. </w:t>
      </w:r>
      <w:r w:rsidR="004A60A3">
        <w:t xml:space="preserve">Buri S, Saini OP, Garg R, Purohit RN, Soni K. Detection of diatoms in autopsy of normal population vis-à-vis drowning. </w:t>
      </w:r>
      <w:r w:rsidR="004A60A3">
        <w:rPr>
          <w:rStyle w:val="Emphasis"/>
        </w:rPr>
        <w:t>Int J Sci Appl Res</w:t>
      </w:r>
      <w:r w:rsidR="004A60A3">
        <w:t>. 2015;2:22–28.</w:t>
      </w:r>
    </w:p>
    <w:p w:rsidR="00CA0249" w:rsidRDefault="00CA0249" w:rsidP="00B7053A">
      <w:pPr>
        <w:pStyle w:val="NormalWeb"/>
        <w:jc w:val="both"/>
      </w:pPr>
      <w:r>
        <w:t xml:space="preserve">2. Pollanen MS. Diatoms and homicide. </w:t>
      </w:r>
      <w:r>
        <w:rPr>
          <w:rStyle w:val="Emphasis"/>
        </w:rPr>
        <w:t>Forensic Sci Int</w:t>
      </w:r>
      <w:r>
        <w:t>. 1998;91(1):29–34.</w:t>
      </w:r>
    </w:p>
    <w:p w:rsidR="00CA0249" w:rsidRDefault="00CA0249" w:rsidP="00B7053A">
      <w:pPr>
        <w:pStyle w:val="NormalWeb"/>
        <w:jc w:val="both"/>
      </w:pPr>
      <w:r>
        <w:t xml:space="preserve">3. Krstić S, Duma A, Janevska B, Levkov Z, Nikolova K, Noveska M. Diatoms in forensic expertise of drowning—a Macedonian experience. </w:t>
      </w:r>
      <w:r>
        <w:rPr>
          <w:rStyle w:val="Emphasis"/>
        </w:rPr>
        <w:t>Forensic Sci Int</w:t>
      </w:r>
      <w:r>
        <w:t>. 2002;127(3):198–203.</w:t>
      </w:r>
    </w:p>
    <w:p w:rsidR="00CA0249" w:rsidRDefault="00CA0249" w:rsidP="00B7053A">
      <w:pPr>
        <w:pStyle w:val="NormalWeb"/>
        <w:jc w:val="both"/>
      </w:pPr>
      <w:r>
        <w:t xml:space="preserve">4. Ludes B, Coste M, Tracqui A, Mangin P. Continuous river monitoring of the diatoms in the diagnosis of drowning. </w:t>
      </w:r>
      <w:r>
        <w:rPr>
          <w:rStyle w:val="Emphasis"/>
        </w:rPr>
        <w:t>J Forensic Sci</w:t>
      </w:r>
      <w:r>
        <w:t>. 1996;41(3):425–428.</w:t>
      </w:r>
    </w:p>
    <w:p w:rsidR="00CA0249" w:rsidRDefault="00CA0249" w:rsidP="00B7053A">
      <w:pPr>
        <w:pStyle w:val="NormalWeb"/>
        <w:jc w:val="both"/>
      </w:pPr>
      <w:r>
        <w:t xml:space="preserve">5. Pollanen MS. The diagnostic value of the diatom test for drowning. Part II: validity—analysis of diatoms in bone marrow and drowning medium. </w:t>
      </w:r>
      <w:r>
        <w:rPr>
          <w:rStyle w:val="Emphasis"/>
        </w:rPr>
        <w:t>J Forensic Sci</w:t>
      </w:r>
      <w:r>
        <w:t>. 1997;42(2):286–290.</w:t>
      </w:r>
    </w:p>
    <w:p w:rsidR="00CA0249" w:rsidRDefault="00CA0249" w:rsidP="00B7053A">
      <w:pPr>
        <w:pStyle w:val="NormalWeb"/>
        <w:jc w:val="both"/>
      </w:pPr>
      <w:r>
        <w:t xml:space="preserve">6. Pal SK, Sharma A, Sehgal A, Rana A. Diagnosing death with diatoms: a retrospective study of forensic cases in Himachal Pradesh, India. </w:t>
      </w:r>
      <w:r>
        <w:rPr>
          <w:rStyle w:val="Emphasis"/>
        </w:rPr>
        <w:t>Int J Med Toxicol Forensic Med</w:t>
      </w:r>
      <w:r>
        <w:t>. 2017;7(2):124–137.</w:t>
      </w:r>
    </w:p>
    <w:p w:rsidR="00CA0249" w:rsidRDefault="00CA0249" w:rsidP="00B7053A">
      <w:pPr>
        <w:pStyle w:val="NormalWeb"/>
        <w:jc w:val="both"/>
      </w:pPr>
      <w:r>
        <w:t xml:space="preserve">7. Horton BP, Boreham S, Hillier C. The development and application of a diatom-based quantitative reconstruction technique in forensic science. </w:t>
      </w:r>
      <w:r>
        <w:rPr>
          <w:rStyle w:val="Emphasis"/>
        </w:rPr>
        <w:t>J Forensic Sci</w:t>
      </w:r>
      <w:r>
        <w:t>. 2006;51(3):643–650.</w:t>
      </w:r>
    </w:p>
    <w:p w:rsidR="00CA0249" w:rsidRDefault="00CA0249" w:rsidP="00B7053A">
      <w:pPr>
        <w:pStyle w:val="NormalWeb"/>
        <w:jc w:val="both"/>
      </w:pPr>
      <w:r>
        <w:t xml:space="preserve">8. Timperman J. The detection of diatoms in the marrow of the sternum as evidence of death by drowning. </w:t>
      </w:r>
      <w:r>
        <w:rPr>
          <w:rStyle w:val="Emphasis"/>
        </w:rPr>
        <w:t>J Forensic Med</w:t>
      </w:r>
      <w:r>
        <w:t>. 1962;9:134–136.</w:t>
      </w:r>
    </w:p>
    <w:p w:rsidR="00B7053A" w:rsidRDefault="00CA0249" w:rsidP="00B7053A">
      <w:pPr>
        <w:pStyle w:val="NormalWeb"/>
        <w:jc w:val="both"/>
      </w:pPr>
      <w:r>
        <w:t xml:space="preserve">9. </w:t>
      </w:r>
      <w:r w:rsidR="00B7053A">
        <w:t xml:space="preserve">Singh R, Thakar MK. Extraction methods of diatoms—a review. </w:t>
      </w:r>
      <w:r w:rsidR="00B7053A" w:rsidRPr="004F0D7B">
        <w:rPr>
          <w:rStyle w:val="Emphasis"/>
          <w:lang w:val="da-DK"/>
        </w:rPr>
        <w:t>Indian Internet J Forensic Med Toxicol</w:t>
      </w:r>
      <w:r w:rsidR="00B7053A" w:rsidRPr="004F0D7B">
        <w:rPr>
          <w:lang w:val="da-DK"/>
        </w:rPr>
        <w:t xml:space="preserve">. </w:t>
      </w:r>
      <w:r w:rsidR="00B7053A">
        <w:t>2006;4(2).</w:t>
      </w:r>
    </w:p>
    <w:p w:rsidR="00B7053A" w:rsidRDefault="00B7053A" w:rsidP="00B7053A">
      <w:pPr>
        <w:pStyle w:val="NormalWeb"/>
        <w:jc w:val="both"/>
      </w:pPr>
      <w:r>
        <w:t xml:space="preserve">10. Kaushik N, Pal SK, Sharma A, Thakur G. Role of diatoms in diagnosis of death due to drowning: case studies. </w:t>
      </w:r>
      <w:r>
        <w:rPr>
          <w:rStyle w:val="Emphasis"/>
        </w:rPr>
        <w:t>Int J Med Toxicol Forensic Med</w:t>
      </w:r>
      <w:r>
        <w:t>. 2017;7(1):59–65.</w:t>
      </w:r>
    </w:p>
    <w:p w:rsidR="00B7053A" w:rsidRDefault="00B7053A" w:rsidP="00B7053A">
      <w:pPr>
        <w:pStyle w:val="NormalWeb"/>
        <w:jc w:val="both"/>
      </w:pPr>
      <w:r>
        <w:t xml:space="preserve">11. </w:t>
      </w:r>
      <w:r w:rsidRPr="004F0D7B">
        <w:rPr>
          <w:lang w:val="pt-BR"/>
        </w:rPr>
        <w:t xml:space="preserve">Kumar A, Malik M, Kadian A, Odu NN, Okonko IO, Erhi O, Aja AO. </w:t>
      </w:r>
      <w:r>
        <w:t xml:space="preserve">Role of diatom test in forensic science for examination of drowning cases. </w:t>
      </w:r>
      <w:r>
        <w:rPr>
          <w:rStyle w:val="Emphasis"/>
        </w:rPr>
        <w:t>Report Opin</w:t>
      </w:r>
      <w:r>
        <w:t>. 2011;3(9):1–5.</w:t>
      </w:r>
    </w:p>
    <w:p w:rsidR="00B7053A" w:rsidRDefault="00B7053A" w:rsidP="00B7053A">
      <w:pPr>
        <w:pStyle w:val="NormalWeb"/>
        <w:jc w:val="both"/>
      </w:pPr>
      <w:r>
        <w:t xml:space="preserve">12. Punia RK. Diatoms: role in drowning. </w:t>
      </w:r>
      <w:r>
        <w:rPr>
          <w:rStyle w:val="Emphasis"/>
        </w:rPr>
        <w:t>J Indian Acad Forensic Med</w:t>
      </w:r>
      <w:r>
        <w:t>. 2011;33(2):184–186.</w:t>
      </w:r>
    </w:p>
    <w:p w:rsidR="00B7053A" w:rsidRDefault="00B7053A" w:rsidP="00CA0249">
      <w:pPr>
        <w:pStyle w:val="NormalWeb"/>
        <w:ind w:left="1080"/>
        <w:jc w:val="both"/>
      </w:pPr>
    </w:p>
    <w:sectPr w:rsidR="00B7053A" w:rsidSect="003D07CA">
      <w:pgSz w:w="11906" w:h="16838" w:code="9"/>
      <w:pgMar w:top="5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BB1" w:rsidRDefault="00A53BB1" w:rsidP="005B78AC">
      <w:pPr>
        <w:spacing w:after="0" w:line="240" w:lineRule="auto"/>
      </w:pPr>
      <w:r>
        <w:separator/>
      </w:r>
    </w:p>
  </w:endnote>
  <w:endnote w:type="continuationSeparator" w:id="1">
    <w:p w:rsidR="00A53BB1" w:rsidRDefault="00A53BB1" w:rsidP="005B7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BB1" w:rsidRDefault="00A53BB1" w:rsidP="005B78AC">
      <w:pPr>
        <w:spacing w:after="0" w:line="240" w:lineRule="auto"/>
      </w:pPr>
      <w:r>
        <w:separator/>
      </w:r>
    </w:p>
  </w:footnote>
  <w:footnote w:type="continuationSeparator" w:id="1">
    <w:p w:rsidR="00A53BB1" w:rsidRDefault="00A53BB1" w:rsidP="005B78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EAE"/>
    <w:multiLevelType w:val="hybridMultilevel"/>
    <w:tmpl w:val="A24E2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3F98"/>
    <w:multiLevelType w:val="hybridMultilevel"/>
    <w:tmpl w:val="CA06E40C"/>
    <w:lvl w:ilvl="0" w:tplc="539882E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45616"/>
    <w:multiLevelType w:val="hybridMultilevel"/>
    <w:tmpl w:val="77A225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407924"/>
    <w:multiLevelType w:val="hybridMultilevel"/>
    <w:tmpl w:val="AC1C2024"/>
    <w:lvl w:ilvl="0" w:tplc="A6F47D6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Q1sTA2NTMyNzExNDRQ0lEKTi0uzszPAykwqwUAUSd2gywAAAA="/>
  </w:docVars>
  <w:rsids>
    <w:rsidRoot w:val="00B01823"/>
    <w:rsid w:val="00004EF1"/>
    <w:rsid w:val="00014E76"/>
    <w:rsid w:val="00015FF7"/>
    <w:rsid w:val="000165BC"/>
    <w:rsid w:val="00023781"/>
    <w:rsid w:val="000245A9"/>
    <w:rsid w:val="00031C7F"/>
    <w:rsid w:val="000364B0"/>
    <w:rsid w:val="00036EA8"/>
    <w:rsid w:val="000552DD"/>
    <w:rsid w:val="00055C5A"/>
    <w:rsid w:val="000644EB"/>
    <w:rsid w:val="00064538"/>
    <w:rsid w:val="00070456"/>
    <w:rsid w:val="00071250"/>
    <w:rsid w:val="000714AC"/>
    <w:rsid w:val="00082D20"/>
    <w:rsid w:val="00085DF4"/>
    <w:rsid w:val="00095FB4"/>
    <w:rsid w:val="000A0539"/>
    <w:rsid w:val="000A15EC"/>
    <w:rsid w:val="000A531A"/>
    <w:rsid w:val="000A7600"/>
    <w:rsid w:val="000C5318"/>
    <w:rsid w:val="000D2B0A"/>
    <w:rsid w:val="000D5277"/>
    <w:rsid w:val="000E61D2"/>
    <w:rsid w:val="000E7A16"/>
    <w:rsid w:val="000F7080"/>
    <w:rsid w:val="000F7AEE"/>
    <w:rsid w:val="00106E17"/>
    <w:rsid w:val="00110AD3"/>
    <w:rsid w:val="00125B18"/>
    <w:rsid w:val="00126CD0"/>
    <w:rsid w:val="00141BEC"/>
    <w:rsid w:val="00142819"/>
    <w:rsid w:val="00146898"/>
    <w:rsid w:val="001512AA"/>
    <w:rsid w:val="00153C98"/>
    <w:rsid w:val="00166885"/>
    <w:rsid w:val="00171D5F"/>
    <w:rsid w:val="0017396C"/>
    <w:rsid w:val="00185531"/>
    <w:rsid w:val="001A0A43"/>
    <w:rsid w:val="001B65F1"/>
    <w:rsid w:val="001C3A3C"/>
    <w:rsid w:val="001D0B46"/>
    <w:rsid w:val="001D63E1"/>
    <w:rsid w:val="001E3A29"/>
    <w:rsid w:val="001F01EC"/>
    <w:rsid w:val="001F78A0"/>
    <w:rsid w:val="001F7F2C"/>
    <w:rsid w:val="00213936"/>
    <w:rsid w:val="0022061B"/>
    <w:rsid w:val="00222DD0"/>
    <w:rsid w:val="00242F21"/>
    <w:rsid w:val="00263897"/>
    <w:rsid w:val="002649D5"/>
    <w:rsid w:val="0026520F"/>
    <w:rsid w:val="00287D0A"/>
    <w:rsid w:val="002920FC"/>
    <w:rsid w:val="00295489"/>
    <w:rsid w:val="00296B3A"/>
    <w:rsid w:val="002A11C2"/>
    <w:rsid w:val="002B340C"/>
    <w:rsid w:val="002B45BC"/>
    <w:rsid w:val="002B5A29"/>
    <w:rsid w:val="002C373B"/>
    <w:rsid w:val="002D29FF"/>
    <w:rsid w:val="002D42F9"/>
    <w:rsid w:val="002D431E"/>
    <w:rsid w:val="002E3934"/>
    <w:rsid w:val="002E7F68"/>
    <w:rsid w:val="002F24DA"/>
    <w:rsid w:val="003071B8"/>
    <w:rsid w:val="003101F1"/>
    <w:rsid w:val="00313851"/>
    <w:rsid w:val="003240B5"/>
    <w:rsid w:val="003275BE"/>
    <w:rsid w:val="00331192"/>
    <w:rsid w:val="00342CBD"/>
    <w:rsid w:val="003504C0"/>
    <w:rsid w:val="003526DC"/>
    <w:rsid w:val="00360099"/>
    <w:rsid w:val="0036103D"/>
    <w:rsid w:val="00367207"/>
    <w:rsid w:val="00373BB8"/>
    <w:rsid w:val="00374063"/>
    <w:rsid w:val="00374812"/>
    <w:rsid w:val="00374B20"/>
    <w:rsid w:val="00381A9E"/>
    <w:rsid w:val="003859F4"/>
    <w:rsid w:val="00385AD0"/>
    <w:rsid w:val="0038636C"/>
    <w:rsid w:val="003925EA"/>
    <w:rsid w:val="00394813"/>
    <w:rsid w:val="003A6F4D"/>
    <w:rsid w:val="003B14BE"/>
    <w:rsid w:val="003C0BDB"/>
    <w:rsid w:val="003C6D54"/>
    <w:rsid w:val="003D07CA"/>
    <w:rsid w:val="003D31B9"/>
    <w:rsid w:val="003D4D12"/>
    <w:rsid w:val="003E28F1"/>
    <w:rsid w:val="003E697D"/>
    <w:rsid w:val="003E7F3D"/>
    <w:rsid w:val="003F0A18"/>
    <w:rsid w:val="004079EA"/>
    <w:rsid w:val="00443ECC"/>
    <w:rsid w:val="00454E8C"/>
    <w:rsid w:val="0045602C"/>
    <w:rsid w:val="00461ACC"/>
    <w:rsid w:val="00465EBB"/>
    <w:rsid w:val="00477DDD"/>
    <w:rsid w:val="004824C3"/>
    <w:rsid w:val="00492BE7"/>
    <w:rsid w:val="004A60A3"/>
    <w:rsid w:val="004B652B"/>
    <w:rsid w:val="004C05CC"/>
    <w:rsid w:val="004D3877"/>
    <w:rsid w:val="004E1829"/>
    <w:rsid w:val="004E2807"/>
    <w:rsid w:val="004E40E0"/>
    <w:rsid w:val="004F0D7B"/>
    <w:rsid w:val="004F2B7D"/>
    <w:rsid w:val="004F34EB"/>
    <w:rsid w:val="004F5607"/>
    <w:rsid w:val="00517ED5"/>
    <w:rsid w:val="00521A25"/>
    <w:rsid w:val="005242FA"/>
    <w:rsid w:val="00540527"/>
    <w:rsid w:val="00543ECE"/>
    <w:rsid w:val="00555FE8"/>
    <w:rsid w:val="005625F0"/>
    <w:rsid w:val="0057774A"/>
    <w:rsid w:val="00587531"/>
    <w:rsid w:val="005912F0"/>
    <w:rsid w:val="005950B0"/>
    <w:rsid w:val="00595D11"/>
    <w:rsid w:val="005A0861"/>
    <w:rsid w:val="005A0DEC"/>
    <w:rsid w:val="005A378A"/>
    <w:rsid w:val="005A5448"/>
    <w:rsid w:val="005B78AC"/>
    <w:rsid w:val="005C4EB9"/>
    <w:rsid w:val="005C5306"/>
    <w:rsid w:val="005C5AF4"/>
    <w:rsid w:val="005D5243"/>
    <w:rsid w:val="005D5B46"/>
    <w:rsid w:val="005D74E3"/>
    <w:rsid w:val="005E0B88"/>
    <w:rsid w:val="005E424A"/>
    <w:rsid w:val="005E7698"/>
    <w:rsid w:val="005F5DF5"/>
    <w:rsid w:val="005F6726"/>
    <w:rsid w:val="005F793B"/>
    <w:rsid w:val="0060786A"/>
    <w:rsid w:val="0061284C"/>
    <w:rsid w:val="006145F5"/>
    <w:rsid w:val="0063499F"/>
    <w:rsid w:val="006368F6"/>
    <w:rsid w:val="00644D85"/>
    <w:rsid w:val="00644FAC"/>
    <w:rsid w:val="00657B0B"/>
    <w:rsid w:val="00664ABF"/>
    <w:rsid w:val="00664EB1"/>
    <w:rsid w:val="006849FF"/>
    <w:rsid w:val="006A2F6E"/>
    <w:rsid w:val="006A43F8"/>
    <w:rsid w:val="006B1EA4"/>
    <w:rsid w:val="006B368F"/>
    <w:rsid w:val="006C0C31"/>
    <w:rsid w:val="006C276E"/>
    <w:rsid w:val="006E09F5"/>
    <w:rsid w:val="006E1833"/>
    <w:rsid w:val="006E495F"/>
    <w:rsid w:val="006E7D12"/>
    <w:rsid w:val="00702EEF"/>
    <w:rsid w:val="00703ABC"/>
    <w:rsid w:val="00703FCD"/>
    <w:rsid w:val="00710EF4"/>
    <w:rsid w:val="00711E9D"/>
    <w:rsid w:val="00712A69"/>
    <w:rsid w:val="007146B9"/>
    <w:rsid w:val="00716708"/>
    <w:rsid w:val="00716853"/>
    <w:rsid w:val="00717BB2"/>
    <w:rsid w:val="0072132E"/>
    <w:rsid w:val="007251D9"/>
    <w:rsid w:val="00731E9C"/>
    <w:rsid w:val="00732CF7"/>
    <w:rsid w:val="00733B5D"/>
    <w:rsid w:val="00740B61"/>
    <w:rsid w:val="00751698"/>
    <w:rsid w:val="007543EF"/>
    <w:rsid w:val="007650D1"/>
    <w:rsid w:val="007679F6"/>
    <w:rsid w:val="00776615"/>
    <w:rsid w:val="00785E62"/>
    <w:rsid w:val="00794C1F"/>
    <w:rsid w:val="00796B55"/>
    <w:rsid w:val="007A1593"/>
    <w:rsid w:val="007A7249"/>
    <w:rsid w:val="007A771C"/>
    <w:rsid w:val="007B6B87"/>
    <w:rsid w:val="007C0527"/>
    <w:rsid w:val="007D133F"/>
    <w:rsid w:val="007F6A46"/>
    <w:rsid w:val="007F6C32"/>
    <w:rsid w:val="008000C3"/>
    <w:rsid w:val="00801D06"/>
    <w:rsid w:val="008036CD"/>
    <w:rsid w:val="00825DEA"/>
    <w:rsid w:val="00845026"/>
    <w:rsid w:val="00853AF8"/>
    <w:rsid w:val="008620F2"/>
    <w:rsid w:val="00863DBD"/>
    <w:rsid w:val="00874FF3"/>
    <w:rsid w:val="00876763"/>
    <w:rsid w:val="00896608"/>
    <w:rsid w:val="008A01FD"/>
    <w:rsid w:val="008A4DD9"/>
    <w:rsid w:val="008C61C6"/>
    <w:rsid w:val="008C64D9"/>
    <w:rsid w:val="008D2F5E"/>
    <w:rsid w:val="008D59A1"/>
    <w:rsid w:val="008E0C6D"/>
    <w:rsid w:val="008E19A9"/>
    <w:rsid w:val="008E4B64"/>
    <w:rsid w:val="008F1C0B"/>
    <w:rsid w:val="008F76C7"/>
    <w:rsid w:val="00934090"/>
    <w:rsid w:val="009357AD"/>
    <w:rsid w:val="0094255B"/>
    <w:rsid w:val="00944C9E"/>
    <w:rsid w:val="00950D12"/>
    <w:rsid w:val="00956646"/>
    <w:rsid w:val="00965ABA"/>
    <w:rsid w:val="0096781F"/>
    <w:rsid w:val="00967A95"/>
    <w:rsid w:val="0097104D"/>
    <w:rsid w:val="009729ED"/>
    <w:rsid w:val="00972A5C"/>
    <w:rsid w:val="00974534"/>
    <w:rsid w:val="0099214E"/>
    <w:rsid w:val="009939F2"/>
    <w:rsid w:val="00997A5E"/>
    <w:rsid w:val="009A05D1"/>
    <w:rsid w:val="009A17D8"/>
    <w:rsid w:val="009B0A95"/>
    <w:rsid w:val="009C06EF"/>
    <w:rsid w:val="009C6132"/>
    <w:rsid w:val="009E1C88"/>
    <w:rsid w:val="009E4574"/>
    <w:rsid w:val="009F010F"/>
    <w:rsid w:val="009F0ABF"/>
    <w:rsid w:val="00A10F96"/>
    <w:rsid w:val="00A133E3"/>
    <w:rsid w:val="00A1532E"/>
    <w:rsid w:val="00A17E83"/>
    <w:rsid w:val="00A24C5C"/>
    <w:rsid w:val="00A2646C"/>
    <w:rsid w:val="00A305EA"/>
    <w:rsid w:val="00A32AC6"/>
    <w:rsid w:val="00A3766A"/>
    <w:rsid w:val="00A4248F"/>
    <w:rsid w:val="00A513FD"/>
    <w:rsid w:val="00A53BB1"/>
    <w:rsid w:val="00A60293"/>
    <w:rsid w:val="00A60B8B"/>
    <w:rsid w:val="00A7552D"/>
    <w:rsid w:val="00A81AF1"/>
    <w:rsid w:val="00A879D7"/>
    <w:rsid w:val="00AA164B"/>
    <w:rsid w:val="00AA30FD"/>
    <w:rsid w:val="00AB40B0"/>
    <w:rsid w:val="00AC1569"/>
    <w:rsid w:val="00AC49CA"/>
    <w:rsid w:val="00AD483F"/>
    <w:rsid w:val="00AE0AFD"/>
    <w:rsid w:val="00AF0E18"/>
    <w:rsid w:val="00AF1796"/>
    <w:rsid w:val="00AF2509"/>
    <w:rsid w:val="00AF7808"/>
    <w:rsid w:val="00B01823"/>
    <w:rsid w:val="00B02083"/>
    <w:rsid w:val="00B02FEA"/>
    <w:rsid w:val="00B14E9B"/>
    <w:rsid w:val="00B228E1"/>
    <w:rsid w:val="00B23FF7"/>
    <w:rsid w:val="00B340D0"/>
    <w:rsid w:val="00B3668F"/>
    <w:rsid w:val="00B443E3"/>
    <w:rsid w:val="00B469D2"/>
    <w:rsid w:val="00B55CBE"/>
    <w:rsid w:val="00B568FD"/>
    <w:rsid w:val="00B61225"/>
    <w:rsid w:val="00B7053A"/>
    <w:rsid w:val="00B722CD"/>
    <w:rsid w:val="00B74536"/>
    <w:rsid w:val="00B84423"/>
    <w:rsid w:val="00B85AB5"/>
    <w:rsid w:val="00B87F1A"/>
    <w:rsid w:val="00B92A9C"/>
    <w:rsid w:val="00BA3ADA"/>
    <w:rsid w:val="00BA469D"/>
    <w:rsid w:val="00BB2BD0"/>
    <w:rsid w:val="00BB7260"/>
    <w:rsid w:val="00BC161A"/>
    <w:rsid w:val="00BD2B4F"/>
    <w:rsid w:val="00BE0E1E"/>
    <w:rsid w:val="00BF58B2"/>
    <w:rsid w:val="00C012EC"/>
    <w:rsid w:val="00C027C8"/>
    <w:rsid w:val="00C0546E"/>
    <w:rsid w:val="00C14280"/>
    <w:rsid w:val="00C26C7A"/>
    <w:rsid w:val="00C3346E"/>
    <w:rsid w:val="00C3629E"/>
    <w:rsid w:val="00C409B6"/>
    <w:rsid w:val="00C42CEA"/>
    <w:rsid w:val="00C45947"/>
    <w:rsid w:val="00C5096B"/>
    <w:rsid w:val="00C50AE5"/>
    <w:rsid w:val="00C50C7B"/>
    <w:rsid w:val="00C545CB"/>
    <w:rsid w:val="00C56138"/>
    <w:rsid w:val="00C81E71"/>
    <w:rsid w:val="00C83A14"/>
    <w:rsid w:val="00C84777"/>
    <w:rsid w:val="00C91F0A"/>
    <w:rsid w:val="00C9512A"/>
    <w:rsid w:val="00C9547F"/>
    <w:rsid w:val="00C96996"/>
    <w:rsid w:val="00CA0249"/>
    <w:rsid w:val="00CA5512"/>
    <w:rsid w:val="00CB0F5D"/>
    <w:rsid w:val="00CB6A4A"/>
    <w:rsid w:val="00CC20FE"/>
    <w:rsid w:val="00CC6DF6"/>
    <w:rsid w:val="00CD171D"/>
    <w:rsid w:val="00CE12CF"/>
    <w:rsid w:val="00CF1436"/>
    <w:rsid w:val="00D10506"/>
    <w:rsid w:val="00D13CB7"/>
    <w:rsid w:val="00D224D8"/>
    <w:rsid w:val="00D3112C"/>
    <w:rsid w:val="00D37D5D"/>
    <w:rsid w:val="00D43130"/>
    <w:rsid w:val="00D44C21"/>
    <w:rsid w:val="00D509D9"/>
    <w:rsid w:val="00D576E1"/>
    <w:rsid w:val="00D604E5"/>
    <w:rsid w:val="00D626A3"/>
    <w:rsid w:val="00D62B5A"/>
    <w:rsid w:val="00D74769"/>
    <w:rsid w:val="00D947AC"/>
    <w:rsid w:val="00D951D9"/>
    <w:rsid w:val="00DA2622"/>
    <w:rsid w:val="00DA496E"/>
    <w:rsid w:val="00DC6E14"/>
    <w:rsid w:val="00DD1961"/>
    <w:rsid w:val="00DD2823"/>
    <w:rsid w:val="00DE0CC3"/>
    <w:rsid w:val="00E00DD5"/>
    <w:rsid w:val="00E042A5"/>
    <w:rsid w:val="00E05E2B"/>
    <w:rsid w:val="00E15C02"/>
    <w:rsid w:val="00E235FB"/>
    <w:rsid w:val="00E317CC"/>
    <w:rsid w:val="00E40761"/>
    <w:rsid w:val="00E42F69"/>
    <w:rsid w:val="00E43015"/>
    <w:rsid w:val="00E536C7"/>
    <w:rsid w:val="00E54B87"/>
    <w:rsid w:val="00E6011F"/>
    <w:rsid w:val="00E65B97"/>
    <w:rsid w:val="00E66B2C"/>
    <w:rsid w:val="00E72426"/>
    <w:rsid w:val="00E72F82"/>
    <w:rsid w:val="00E73304"/>
    <w:rsid w:val="00E85223"/>
    <w:rsid w:val="00E853E9"/>
    <w:rsid w:val="00E9662A"/>
    <w:rsid w:val="00EA0DD2"/>
    <w:rsid w:val="00EA13D7"/>
    <w:rsid w:val="00EA20DC"/>
    <w:rsid w:val="00EC558C"/>
    <w:rsid w:val="00EE1FBD"/>
    <w:rsid w:val="00EE3D9C"/>
    <w:rsid w:val="00EE4E7E"/>
    <w:rsid w:val="00EE694D"/>
    <w:rsid w:val="00EF441A"/>
    <w:rsid w:val="00EF7651"/>
    <w:rsid w:val="00F106E7"/>
    <w:rsid w:val="00F10B5F"/>
    <w:rsid w:val="00F159FC"/>
    <w:rsid w:val="00F17B36"/>
    <w:rsid w:val="00F22552"/>
    <w:rsid w:val="00F233E3"/>
    <w:rsid w:val="00F23D46"/>
    <w:rsid w:val="00F261FE"/>
    <w:rsid w:val="00F268F2"/>
    <w:rsid w:val="00F307B7"/>
    <w:rsid w:val="00F53B18"/>
    <w:rsid w:val="00F6316C"/>
    <w:rsid w:val="00F642E1"/>
    <w:rsid w:val="00F66D88"/>
    <w:rsid w:val="00F73594"/>
    <w:rsid w:val="00F77360"/>
    <w:rsid w:val="00F804C7"/>
    <w:rsid w:val="00F86F13"/>
    <w:rsid w:val="00F93EF6"/>
    <w:rsid w:val="00FA1571"/>
    <w:rsid w:val="00FA1A02"/>
    <w:rsid w:val="00FB5EE9"/>
    <w:rsid w:val="00FB7084"/>
    <w:rsid w:val="00FC06FB"/>
    <w:rsid w:val="00FC3C17"/>
    <w:rsid w:val="00FC51DC"/>
    <w:rsid w:val="00FD7FD4"/>
    <w:rsid w:val="00FE00A1"/>
    <w:rsid w:val="00FE47B1"/>
    <w:rsid w:val="00FE48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B2"/>
  </w:style>
  <w:style w:type="paragraph" w:styleId="Heading2">
    <w:name w:val="heading 2"/>
    <w:basedOn w:val="Normal"/>
    <w:next w:val="Normal"/>
    <w:link w:val="Heading2Char"/>
    <w:uiPriority w:val="9"/>
    <w:semiHidden/>
    <w:unhideWhenUsed/>
    <w:qFormat/>
    <w:rsid w:val="00095FB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AF250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78AC"/>
    <w:pPr>
      <w:tabs>
        <w:tab w:val="center" w:pos="4680"/>
        <w:tab w:val="right" w:pos="9360"/>
      </w:tabs>
      <w:spacing w:after="0" w:line="240" w:lineRule="auto"/>
    </w:pPr>
  </w:style>
  <w:style w:type="character" w:customStyle="1" w:styleId="HeaderChar">
    <w:name w:val="Header Char"/>
    <w:basedOn w:val="DefaultParagraphFont"/>
    <w:link w:val="Header"/>
    <w:rsid w:val="005B78AC"/>
  </w:style>
  <w:style w:type="paragraph" w:styleId="Footer">
    <w:name w:val="footer"/>
    <w:basedOn w:val="Normal"/>
    <w:link w:val="FooterChar"/>
    <w:uiPriority w:val="99"/>
    <w:unhideWhenUsed/>
    <w:rsid w:val="005B7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AC"/>
  </w:style>
  <w:style w:type="character" w:styleId="Hyperlink">
    <w:name w:val="Hyperlink"/>
    <w:basedOn w:val="DefaultParagraphFont"/>
    <w:uiPriority w:val="99"/>
    <w:unhideWhenUsed/>
    <w:rsid w:val="00C027C8"/>
    <w:rPr>
      <w:color w:val="0000FF"/>
      <w:u w:val="single"/>
    </w:rPr>
  </w:style>
  <w:style w:type="paragraph" w:styleId="ListParagraph">
    <w:name w:val="List Paragraph"/>
    <w:basedOn w:val="Normal"/>
    <w:link w:val="ListParagraphChar"/>
    <w:uiPriority w:val="34"/>
    <w:qFormat/>
    <w:rsid w:val="002D431E"/>
    <w:pPr>
      <w:spacing w:after="200" w:line="276"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qFormat/>
    <w:rsid w:val="002D431E"/>
    <w:rPr>
      <w:rFonts w:ascii="Calibri" w:eastAsia="Calibri" w:hAnsi="Calibri" w:cs="Times New Roman"/>
    </w:rPr>
  </w:style>
  <w:style w:type="paragraph" w:customStyle="1" w:styleId="ListParagraph1">
    <w:name w:val="List Paragraph1"/>
    <w:basedOn w:val="Normal"/>
    <w:uiPriority w:val="34"/>
    <w:qFormat/>
    <w:rsid w:val="007251D9"/>
    <w:pPr>
      <w:spacing w:after="200" w:line="276" w:lineRule="auto"/>
      <w:ind w:left="720"/>
      <w:contextualSpacing/>
    </w:pPr>
    <w:rPr>
      <w:rFonts w:ascii="Calibri" w:eastAsia="Calibri" w:hAnsi="Calibri" w:cs="Times New Roman"/>
    </w:rPr>
  </w:style>
  <w:style w:type="character" w:customStyle="1" w:styleId="fontstyle01">
    <w:name w:val="fontstyle01"/>
    <w:basedOn w:val="DefaultParagraphFont"/>
    <w:rsid w:val="00CC20FE"/>
    <w:rPr>
      <w:rFonts w:ascii="Helvetica" w:hAnsi="Helvetica" w:cs="Helvetica" w:hint="default"/>
      <w:b w:val="0"/>
      <w:bCs w:val="0"/>
      <w:i w:val="0"/>
      <w:iCs w:val="0"/>
      <w:color w:val="000000"/>
      <w:sz w:val="22"/>
      <w:szCs w:val="22"/>
    </w:rPr>
  </w:style>
  <w:style w:type="table" w:styleId="TableGrid">
    <w:name w:val="Table Grid"/>
    <w:basedOn w:val="TableNormal"/>
    <w:uiPriority w:val="59"/>
    <w:rsid w:val="00141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781"/>
    <w:rPr>
      <w:rFonts w:ascii="Segoe UI" w:hAnsi="Segoe UI" w:cs="Segoe UI"/>
      <w:sz w:val="18"/>
      <w:szCs w:val="18"/>
    </w:rPr>
  </w:style>
  <w:style w:type="paragraph" w:styleId="NormalWeb">
    <w:name w:val="Normal (Web)"/>
    <w:basedOn w:val="Normal"/>
    <w:uiPriority w:val="99"/>
    <w:unhideWhenUsed/>
    <w:rsid w:val="009F0A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AF2509"/>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716708"/>
    <w:rPr>
      <w:i/>
      <w:iCs/>
    </w:rPr>
  </w:style>
  <w:style w:type="character" w:customStyle="1" w:styleId="Heading2Char">
    <w:name w:val="Heading 2 Char"/>
    <w:basedOn w:val="DefaultParagraphFont"/>
    <w:link w:val="Heading2"/>
    <w:uiPriority w:val="9"/>
    <w:semiHidden/>
    <w:rsid w:val="00095FB4"/>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095FB4"/>
    <w:rPr>
      <w:b/>
      <w:bCs/>
    </w:rPr>
  </w:style>
</w:styles>
</file>

<file path=word/webSettings.xml><?xml version="1.0" encoding="utf-8"?>
<w:webSettings xmlns:r="http://schemas.openxmlformats.org/officeDocument/2006/relationships" xmlns:w="http://schemas.openxmlformats.org/wordprocessingml/2006/main">
  <w:divs>
    <w:div w:id="222450998">
      <w:bodyDiv w:val="1"/>
      <w:marLeft w:val="0"/>
      <w:marRight w:val="0"/>
      <w:marTop w:val="0"/>
      <w:marBottom w:val="0"/>
      <w:divBdr>
        <w:top w:val="none" w:sz="0" w:space="0" w:color="auto"/>
        <w:left w:val="none" w:sz="0" w:space="0" w:color="auto"/>
        <w:bottom w:val="none" w:sz="0" w:space="0" w:color="auto"/>
        <w:right w:val="none" w:sz="0" w:space="0" w:color="auto"/>
      </w:divBdr>
    </w:div>
    <w:div w:id="319192444">
      <w:bodyDiv w:val="1"/>
      <w:marLeft w:val="0"/>
      <w:marRight w:val="0"/>
      <w:marTop w:val="0"/>
      <w:marBottom w:val="0"/>
      <w:divBdr>
        <w:top w:val="none" w:sz="0" w:space="0" w:color="auto"/>
        <w:left w:val="none" w:sz="0" w:space="0" w:color="auto"/>
        <w:bottom w:val="none" w:sz="0" w:space="0" w:color="auto"/>
        <w:right w:val="none" w:sz="0" w:space="0" w:color="auto"/>
      </w:divBdr>
    </w:div>
    <w:div w:id="392699992">
      <w:bodyDiv w:val="1"/>
      <w:marLeft w:val="0"/>
      <w:marRight w:val="0"/>
      <w:marTop w:val="0"/>
      <w:marBottom w:val="0"/>
      <w:divBdr>
        <w:top w:val="none" w:sz="0" w:space="0" w:color="auto"/>
        <w:left w:val="none" w:sz="0" w:space="0" w:color="auto"/>
        <w:bottom w:val="none" w:sz="0" w:space="0" w:color="auto"/>
        <w:right w:val="none" w:sz="0" w:space="0" w:color="auto"/>
      </w:divBdr>
    </w:div>
    <w:div w:id="550116380">
      <w:bodyDiv w:val="1"/>
      <w:marLeft w:val="0"/>
      <w:marRight w:val="0"/>
      <w:marTop w:val="0"/>
      <w:marBottom w:val="0"/>
      <w:divBdr>
        <w:top w:val="none" w:sz="0" w:space="0" w:color="auto"/>
        <w:left w:val="none" w:sz="0" w:space="0" w:color="auto"/>
        <w:bottom w:val="none" w:sz="0" w:space="0" w:color="auto"/>
        <w:right w:val="none" w:sz="0" w:space="0" w:color="auto"/>
      </w:divBdr>
    </w:div>
    <w:div w:id="697200104">
      <w:bodyDiv w:val="1"/>
      <w:marLeft w:val="0"/>
      <w:marRight w:val="0"/>
      <w:marTop w:val="0"/>
      <w:marBottom w:val="0"/>
      <w:divBdr>
        <w:top w:val="none" w:sz="0" w:space="0" w:color="auto"/>
        <w:left w:val="none" w:sz="0" w:space="0" w:color="auto"/>
        <w:bottom w:val="none" w:sz="0" w:space="0" w:color="auto"/>
        <w:right w:val="none" w:sz="0" w:space="0" w:color="auto"/>
      </w:divBdr>
    </w:div>
    <w:div w:id="697662444">
      <w:bodyDiv w:val="1"/>
      <w:marLeft w:val="0"/>
      <w:marRight w:val="0"/>
      <w:marTop w:val="0"/>
      <w:marBottom w:val="0"/>
      <w:divBdr>
        <w:top w:val="none" w:sz="0" w:space="0" w:color="auto"/>
        <w:left w:val="none" w:sz="0" w:space="0" w:color="auto"/>
        <w:bottom w:val="none" w:sz="0" w:space="0" w:color="auto"/>
        <w:right w:val="none" w:sz="0" w:space="0" w:color="auto"/>
      </w:divBdr>
    </w:div>
    <w:div w:id="1224949609">
      <w:bodyDiv w:val="1"/>
      <w:marLeft w:val="0"/>
      <w:marRight w:val="0"/>
      <w:marTop w:val="0"/>
      <w:marBottom w:val="0"/>
      <w:divBdr>
        <w:top w:val="none" w:sz="0" w:space="0" w:color="auto"/>
        <w:left w:val="none" w:sz="0" w:space="0" w:color="auto"/>
        <w:bottom w:val="none" w:sz="0" w:space="0" w:color="auto"/>
        <w:right w:val="none" w:sz="0" w:space="0" w:color="auto"/>
      </w:divBdr>
    </w:div>
    <w:div w:id="1235239339">
      <w:bodyDiv w:val="1"/>
      <w:marLeft w:val="0"/>
      <w:marRight w:val="0"/>
      <w:marTop w:val="0"/>
      <w:marBottom w:val="0"/>
      <w:divBdr>
        <w:top w:val="none" w:sz="0" w:space="0" w:color="auto"/>
        <w:left w:val="none" w:sz="0" w:space="0" w:color="auto"/>
        <w:bottom w:val="none" w:sz="0" w:space="0" w:color="auto"/>
        <w:right w:val="none" w:sz="0" w:space="0" w:color="auto"/>
      </w:divBdr>
    </w:div>
    <w:div w:id="1327396969">
      <w:bodyDiv w:val="1"/>
      <w:marLeft w:val="0"/>
      <w:marRight w:val="0"/>
      <w:marTop w:val="0"/>
      <w:marBottom w:val="0"/>
      <w:divBdr>
        <w:top w:val="none" w:sz="0" w:space="0" w:color="auto"/>
        <w:left w:val="none" w:sz="0" w:space="0" w:color="auto"/>
        <w:bottom w:val="none" w:sz="0" w:space="0" w:color="auto"/>
        <w:right w:val="none" w:sz="0" w:space="0" w:color="auto"/>
      </w:divBdr>
    </w:div>
    <w:div w:id="1386293070">
      <w:bodyDiv w:val="1"/>
      <w:marLeft w:val="0"/>
      <w:marRight w:val="0"/>
      <w:marTop w:val="0"/>
      <w:marBottom w:val="0"/>
      <w:divBdr>
        <w:top w:val="none" w:sz="0" w:space="0" w:color="auto"/>
        <w:left w:val="none" w:sz="0" w:space="0" w:color="auto"/>
        <w:bottom w:val="none" w:sz="0" w:space="0" w:color="auto"/>
        <w:right w:val="none" w:sz="0" w:space="0" w:color="auto"/>
      </w:divBdr>
    </w:div>
    <w:div w:id="1627465868">
      <w:bodyDiv w:val="1"/>
      <w:marLeft w:val="0"/>
      <w:marRight w:val="0"/>
      <w:marTop w:val="0"/>
      <w:marBottom w:val="0"/>
      <w:divBdr>
        <w:top w:val="none" w:sz="0" w:space="0" w:color="auto"/>
        <w:left w:val="none" w:sz="0" w:space="0" w:color="auto"/>
        <w:bottom w:val="none" w:sz="0" w:space="0" w:color="auto"/>
        <w:right w:val="none" w:sz="0" w:space="0" w:color="auto"/>
      </w:divBdr>
    </w:div>
    <w:div w:id="1757508816">
      <w:bodyDiv w:val="1"/>
      <w:marLeft w:val="0"/>
      <w:marRight w:val="0"/>
      <w:marTop w:val="0"/>
      <w:marBottom w:val="0"/>
      <w:divBdr>
        <w:top w:val="none" w:sz="0" w:space="0" w:color="auto"/>
        <w:left w:val="none" w:sz="0" w:space="0" w:color="auto"/>
        <w:bottom w:val="none" w:sz="0" w:space="0" w:color="auto"/>
        <w:right w:val="none" w:sz="0" w:space="0" w:color="auto"/>
      </w:divBdr>
    </w:div>
    <w:div w:id="19892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527C7-9192-49CC-B35A-E3F81038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deepali</dc:creator>
  <cp:lastModifiedBy>DELL</cp:lastModifiedBy>
  <cp:revision>6</cp:revision>
  <cp:lastPrinted>2022-12-01T11:09:00Z</cp:lastPrinted>
  <dcterms:created xsi:type="dcterms:W3CDTF">2025-12-12T15:55:00Z</dcterms:created>
  <dcterms:modified xsi:type="dcterms:W3CDTF">2025-12-12T16:09:00Z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61bcc7b1-1a87-4da7-9a82-bb5bd8959768</vt:lpwstr>
  </property>
</Properties>
</file>