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16DD" w14:textId="22681E02" w:rsidR="00CB6235" w:rsidRPr="00A5755B" w:rsidRDefault="00B23462" w:rsidP="00CB6235">
      <w:pPr>
        <w:spacing w:line="480" w:lineRule="auto"/>
        <w:jc w:val="both"/>
        <w:rPr>
          <w:rFonts w:ascii="Times New Roman" w:hAnsi="Times New Roman" w:cs="Times New Roman"/>
          <w:b/>
          <w:bCs/>
          <w:sz w:val="44"/>
          <w:szCs w:val="44"/>
        </w:rPr>
      </w:pPr>
      <w:r w:rsidRPr="00A5755B">
        <w:rPr>
          <w:rFonts w:ascii="Times New Roman" w:hAnsi="Times New Roman" w:cs="Times New Roman"/>
          <w:b/>
          <w:bCs/>
          <w:sz w:val="44"/>
          <w:szCs w:val="44"/>
        </w:rPr>
        <w:t>TITLE</w:t>
      </w:r>
    </w:p>
    <w:p w14:paraId="6155B8BC" w14:textId="580F49EA" w:rsidR="00CB6235" w:rsidRPr="00A5755B" w:rsidRDefault="002D7494" w:rsidP="00CB6235">
      <w:pPr>
        <w:spacing w:line="480" w:lineRule="auto"/>
        <w:jc w:val="both"/>
        <w:rPr>
          <w:rFonts w:ascii="Times New Roman" w:hAnsi="Times New Roman" w:cs="Times New Roman"/>
          <w:sz w:val="44"/>
          <w:szCs w:val="44"/>
        </w:rPr>
      </w:pPr>
      <w:r w:rsidRPr="00A5755B">
        <w:rPr>
          <w:rFonts w:ascii="Times New Roman" w:hAnsi="Times New Roman" w:cs="Times New Roman"/>
          <w:sz w:val="44"/>
          <w:szCs w:val="44"/>
        </w:rPr>
        <w:t xml:space="preserve">Medico-legal paradigms in dentistry: </w:t>
      </w:r>
      <w:r w:rsidR="00A45AEE" w:rsidRPr="00A5755B">
        <w:rPr>
          <w:rFonts w:ascii="Times New Roman" w:hAnsi="Times New Roman" w:cs="Times New Roman"/>
          <w:sz w:val="44"/>
          <w:szCs w:val="44"/>
        </w:rPr>
        <w:t>A</w:t>
      </w:r>
      <w:r w:rsidRPr="00A5755B">
        <w:rPr>
          <w:rFonts w:ascii="Times New Roman" w:hAnsi="Times New Roman" w:cs="Times New Roman"/>
          <w:sz w:val="44"/>
          <w:szCs w:val="44"/>
        </w:rPr>
        <w:t xml:space="preserve">n exhaustive analysis of </w:t>
      </w:r>
      <w:r w:rsidR="00B23462" w:rsidRPr="00A5755B">
        <w:rPr>
          <w:rFonts w:ascii="Times New Roman" w:hAnsi="Times New Roman" w:cs="Times New Roman"/>
          <w:sz w:val="44"/>
          <w:szCs w:val="44"/>
        </w:rPr>
        <w:t>Indian</w:t>
      </w:r>
      <w:r w:rsidRPr="00A5755B">
        <w:rPr>
          <w:rFonts w:ascii="Times New Roman" w:hAnsi="Times New Roman" w:cs="Times New Roman"/>
          <w:sz w:val="44"/>
          <w:szCs w:val="44"/>
        </w:rPr>
        <w:t xml:space="preserve"> jurisprudence, clinical liability, and ethical standards</w:t>
      </w:r>
    </w:p>
    <w:p w14:paraId="46733DF1" w14:textId="143A02E2" w:rsidR="000A0520" w:rsidRPr="005576EE" w:rsidRDefault="000A0520" w:rsidP="00CB6235">
      <w:pPr>
        <w:spacing w:line="480" w:lineRule="auto"/>
        <w:jc w:val="both"/>
        <w:rPr>
          <w:rFonts w:ascii="Arial" w:hAnsi="Arial" w:cs="Arial"/>
          <w:b/>
          <w:bCs/>
          <w:sz w:val="18"/>
          <w:szCs w:val="18"/>
        </w:rPr>
      </w:pPr>
      <w:r w:rsidRPr="005576EE">
        <w:rPr>
          <w:rFonts w:ascii="Arial" w:hAnsi="Arial" w:cs="Arial"/>
          <w:b/>
          <w:bCs/>
          <w:sz w:val="18"/>
          <w:szCs w:val="18"/>
        </w:rPr>
        <w:t>RUNNING TITLE</w:t>
      </w:r>
    </w:p>
    <w:p w14:paraId="1690CA57" w14:textId="4F1847D9" w:rsidR="000A0520" w:rsidRPr="005576EE" w:rsidRDefault="000A0520" w:rsidP="00CB6235">
      <w:pPr>
        <w:spacing w:line="480" w:lineRule="auto"/>
        <w:jc w:val="both"/>
        <w:rPr>
          <w:rFonts w:ascii="Arial" w:hAnsi="Arial" w:cs="Arial"/>
          <w:sz w:val="18"/>
          <w:szCs w:val="18"/>
        </w:rPr>
      </w:pPr>
      <w:r w:rsidRPr="005576EE">
        <w:rPr>
          <w:rFonts w:ascii="Arial" w:hAnsi="Arial" w:cs="Arial"/>
          <w:sz w:val="18"/>
          <w:szCs w:val="18"/>
        </w:rPr>
        <w:t>Medico-</w:t>
      </w:r>
      <w:r w:rsidR="00901C35" w:rsidRPr="005576EE">
        <w:rPr>
          <w:rFonts w:ascii="Arial" w:hAnsi="Arial" w:cs="Arial"/>
          <w:sz w:val="18"/>
          <w:szCs w:val="18"/>
        </w:rPr>
        <w:t>l</w:t>
      </w:r>
      <w:r w:rsidRPr="005576EE">
        <w:rPr>
          <w:rFonts w:ascii="Arial" w:hAnsi="Arial" w:cs="Arial"/>
          <w:sz w:val="18"/>
          <w:szCs w:val="18"/>
        </w:rPr>
        <w:t xml:space="preserve">egal Paradigms in </w:t>
      </w:r>
      <w:r w:rsidR="00901C35" w:rsidRPr="005576EE">
        <w:rPr>
          <w:rFonts w:ascii="Arial" w:hAnsi="Arial" w:cs="Arial"/>
          <w:sz w:val="18"/>
          <w:szCs w:val="18"/>
        </w:rPr>
        <w:t>d</w:t>
      </w:r>
      <w:r w:rsidRPr="005576EE">
        <w:rPr>
          <w:rFonts w:ascii="Arial" w:hAnsi="Arial" w:cs="Arial"/>
          <w:sz w:val="18"/>
          <w:szCs w:val="18"/>
        </w:rPr>
        <w:t>entistry</w:t>
      </w:r>
    </w:p>
    <w:p w14:paraId="590970C0" w14:textId="77777777" w:rsidR="00322BED"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ABSTRACT</w:t>
      </w:r>
      <w:r w:rsidRPr="00CB6235">
        <w:rPr>
          <w:rFonts w:ascii="Times New Roman" w:hAnsi="Times New Roman" w:cs="Times New Roman"/>
          <w:sz w:val="21"/>
          <w:szCs w:val="21"/>
        </w:rPr>
        <w:t xml:space="preserve"> </w:t>
      </w:r>
    </w:p>
    <w:p w14:paraId="309CDFEF" w14:textId="6E04D1C0"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The profession of dentistry in India has undergone a seismic shift from a paternalistic "healer-patient" relationship to a "provider-consumer" dynamic. This transition, driven by the commercialisation of healthcare, the exponential rise in patient literacy, and judicial activism, has brought dental practice strictly under the ambit of Indian legal frameworks. This review provides a comprehensive analysis of the medico-legal landscape facing the modern Indian dentist. It critically examines the statutory hierarchy, ranging from the constitutional right to health and the Dentists Act, 1948 to the transformative impact of the Consumer Protection Act (CPA) 2019. Special emphasis is placed on the expansion of pecuniary jurisdiction, the introduction of "Product Liability" which poses new risks for implantology, and the legal nuances of "Unfair Contracts." The review dissects the "Bolam Test" for negligence, the doctrine of informed consent versus informed refusal, and the critical defence of contributory negligence. Furthermore, it analyses specialty-specific risks</w:t>
      </w:r>
      <w:r w:rsidR="008144A2">
        <w:rPr>
          <w:rFonts w:ascii="Times New Roman" w:hAnsi="Times New Roman" w:cs="Times New Roman"/>
          <w:sz w:val="21"/>
          <w:szCs w:val="21"/>
        </w:rPr>
        <w:t xml:space="preserve"> like </w:t>
      </w:r>
      <w:r w:rsidRPr="00CB6235">
        <w:rPr>
          <w:rFonts w:ascii="Times New Roman" w:hAnsi="Times New Roman" w:cs="Times New Roman"/>
          <w:sz w:val="21"/>
          <w:szCs w:val="21"/>
        </w:rPr>
        <w:t>differentiating between clinical negligence in oral surgery versus communication-based litigation in orthodontics.</w:t>
      </w:r>
      <w:r w:rsidR="00A61549" w:rsidRPr="00323060">
        <w:rPr>
          <w:rFonts w:ascii="Times New Roman" w:hAnsi="Times New Roman" w:cs="Times New Roman"/>
          <w:sz w:val="21"/>
          <w:szCs w:val="21"/>
        </w:rPr>
        <w:t xml:space="preserve"> </w:t>
      </w:r>
      <w:r w:rsidRPr="00CB6235">
        <w:rPr>
          <w:rFonts w:ascii="Times New Roman" w:hAnsi="Times New Roman" w:cs="Times New Roman"/>
          <w:sz w:val="21"/>
          <w:szCs w:val="21"/>
        </w:rPr>
        <w:t>Conclusively, the article argues that amidst judicial uncertainty</w:t>
      </w:r>
      <w:r w:rsidR="00F91816">
        <w:rPr>
          <w:rFonts w:ascii="Times New Roman" w:hAnsi="Times New Roman" w:cs="Times New Roman"/>
          <w:sz w:val="21"/>
          <w:szCs w:val="21"/>
        </w:rPr>
        <w:t xml:space="preserve"> </w:t>
      </w:r>
      <w:r w:rsidRPr="00CB6235">
        <w:rPr>
          <w:rFonts w:ascii="Times New Roman" w:hAnsi="Times New Roman" w:cs="Times New Roman"/>
          <w:sz w:val="21"/>
          <w:szCs w:val="21"/>
        </w:rPr>
        <w:t>highlighted by the 2024 Bar of Indian Lawyers judgment</w:t>
      </w:r>
      <w:r w:rsidR="00F91816">
        <w:rPr>
          <w:rFonts w:ascii="Times New Roman" w:hAnsi="Times New Roman" w:cs="Times New Roman"/>
          <w:sz w:val="21"/>
          <w:szCs w:val="21"/>
        </w:rPr>
        <w:t xml:space="preserve">, </w:t>
      </w:r>
      <w:r w:rsidRPr="00CB6235">
        <w:rPr>
          <w:rFonts w:ascii="Times New Roman" w:hAnsi="Times New Roman" w:cs="Times New Roman"/>
          <w:sz w:val="21"/>
          <w:szCs w:val="21"/>
        </w:rPr>
        <w:t>the dental practitioner must evolve into a "hybrid professional" who balances clinical excellence with administrative rigour to navigate the complexities of contemporary jurisprudence.</w:t>
      </w:r>
    </w:p>
    <w:p w14:paraId="0D47B349" w14:textId="36DE5F33" w:rsid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lastRenderedPageBreak/>
        <w:t>KEYWORDS</w:t>
      </w:r>
      <w:r w:rsidRPr="00CB6235">
        <w:rPr>
          <w:rFonts w:ascii="Times New Roman" w:hAnsi="Times New Roman" w:cs="Times New Roman"/>
          <w:sz w:val="21"/>
          <w:szCs w:val="21"/>
        </w:rPr>
        <w:t xml:space="preserve"> Consumer Protection Act; Contributory Negligence; Dental Jurisprudence; Informed Consent; </w:t>
      </w:r>
    </w:p>
    <w:p w14:paraId="364345FA" w14:textId="21EAD7DA" w:rsidR="00D05D19"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INTRODUCTION</w:t>
      </w:r>
      <w:r w:rsidRPr="00CB6235">
        <w:rPr>
          <w:rFonts w:ascii="Times New Roman" w:hAnsi="Times New Roman" w:cs="Times New Roman"/>
          <w:sz w:val="21"/>
          <w:szCs w:val="21"/>
        </w:rPr>
        <w:t xml:space="preserve"> </w:t>
      </w:r>
    </w:p>
    <w:p w14:paraId="12B5BABC" w14:textId="0077DDD5" w:rsidR="00CB6235" w:rsidRPr="00CB6235" w:rsidRDefault="00CB6235" w:rsidP="00CB6235">
      <w:pPr>
        <w:spacing w:line="480" w:lineRule="auto"/>
        <w:jc w:val="both"/>
        <w:rPr>
          <w:rFonts w:ascii="Times New Roman" w:hAnsi="Times New Roman" w:cs="Times New Roman"/>
          <w:sz w:val="21"/>
          <w:szCs w:val="21"/>
          <w:vertAlign w:val="superscript"/>
        </w:rPr>
      </w:pPr>
      <w:r w:rsidRPr="00CB6235">
        <w:rPr>
          <w:rFonts w:ascii="Times New Roman" w:hAnsi="Times New Roman" w:cs="Times New Roman"/>
          <w:sz w:val="21"/>
          <w:szCs w:val="21"/>
        </w:rPr>
        <w:t>The profession of dentistry in India, once insulated by a veil of paternalistic trust and regarded largely as a humanitarian vocation, has undergone a radical transformation in recent decades. This shift is not merely clinical or technological but fundamentally socio-legal. The transition from a fiduciary "healer-patient" relationship to a contractual "provider-consumer" dynamic has been catalysed by a confluence of factors: the corporatisation of healthcare, the exponential rise in patient literacy through the internet, and a judicial activism that has progressively brought medical services under the ambit of consumer protection laws.</w:t>
      </w:r>
      <w:r w:rsidR="00D05D19" w:rsidRPr="00323060">
        <w:rPr>
          <w:rFonts w:ascii="Times New Roman" w:hAnsi="Times New Roman" w:cs="Times New Roman"/>
          <w:sz w:val="21"/>
          <w:szCs w:val="21"/>
          <w:vertAlign w:val="superscript"/>
        </w:rPr>
        <w:t>1</w:t>
      </w:r>
    </w:p>
    <w:p w14:paraId="60C96F26" w14:textId="480C9B1D" w:rsidR="00CB6235" w:rsidRPr="00CB6235" w:rsidRDefault="00034BE1" w:rsidP="00CB6235">
      <w:pPr>
        <w:spacing w:line="480" w:lineRule="auto"/>
        <w:jc w:val="both"/>
        <w:rPr>
          <w:rFonts w:ascii="Times New Roman" w:hAnsi="Times New Roman" w:cs="Times New Roman"/>
          <w:sz w:val="21"/>
          <w:szCs w:val="21"/>
          <w:vertAlign w:val="superscript"/>
        </w:rPr>
      </w:pPr>
      <w:r>
        <w:rPr>
          <w:rFonts w:ascii="Times New Roman" w:hAnsi="Times New Roman" w:cs="Times New Roman"/>
          <w:sz w:val="21"/>
          <w:szCs w:val="21"/>
        </w:rPr>
        <w:t>As</w:t>
      </w:r>
      <w:r w:rsidR="00CB6235" w:rsidRPr="00CB6235">
        <w:rPr>
          <w:rFonts w:ascii="Times New Roman" w:hAnsi="Times New Roman" w:cs="Times New Roman"/>
          <w:sz w:val="21"/>
          <w:szCs w:val="21"/>
        </w:rPr>
        <w:t xml:space="preserve"> the healthcare ecosystem has become more "market-driven," with altruistic concepts frequently overridden by profit motives, the ethical standards of the profession have been perceived to face a steady decline.</w:t>
      </w:r>
      <w:r w:rsidR="00D05D19" w:rsidRPr="00323060">
        <w:rPr>
          <w:rFonts w:ascii="Times New Roman" w:hAnsi="Times New Roman" w:cs="Times New Roman"/>
          <w:sz w:val="21"/>
          <w:szCs w:val="21"/>
          <w:vertAlign w:val="superscript"/>
        </w:rPr>
        <w:t xml:space="preserve">2 </w:t>
      </w:r>
      <w:r w:rsidR="00CB6235" w:rsidRPr="00CB6235">
        <w:rPr>
          <w:rFonts w:ascii="Times New Roman" w:hAnsi="Times New Roman" w:cs="Times New Roman"/>
          <w:sz w:val="21"/>
          <w:szCs w:val="21"/>
        </w:rPr>
        <w:t>This commodification of care has necessitated the intervention of the legal system to ensure accountability and standardize quality. Today, the "law of the land" operates on the non-negotiable premise that a dental practitioner, by virtue of their qualification and licensure, possesses a credible level of skill and will exercise reasonable care and caution in the treatment of patients.</w:t>
      </w:r>
      <w:r w:rsidR="00D05D19" w:rsidRPr="00323060">
        <w:rPr>
          <w:rFonts w:ascii="Times New Roman" w:hAnsi="Times New Roman" w:cs="Times New Roman"/>
          <w:sz w:val="21"/>
          <w:szCs w:val="21"/>
          <w:vertAlign w:val="superscript"/>
        </w:rPr>
        <w:t>3</w:t>
      </w:r>
    </w:p>
    <w:p w14:paraId="2AB9EF21" w14:textId="428DE8ED"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Despite the crystallisation of these legal obligations, there remains a profound disconnect within the dental community. Studies consistently highlight a "deficient knowledge" regarding medico-legal aspects among dental practitioners, a gap that halts the effective implementation of health laws.</w:t>
      </w:r>
      <w:proofErr w:type="gramStart"/>
      <w:r w:rsidR="00D05D19" w:rsidRPr="00323060">
        <w:rPr>
          <w:rFonts w:ascii="Times New Roman" w:hAnsi="Times New Roman" w:cs="Times New Roman"/>
          <w:sz w:val="21"/>
          <w:szCs w:val="21"/>
          <w:vertAlign w:val="superscript"/>
        </w:rPr>
        <w:t xml:space="preserve">4 </w:t>
      </w:r>
      <w:r w:rsidRPr="00CB6235">
        <w:rPr>
          <w:rFonts w:ascii="Times New Roman" w:hAnsi="Times New Roman" w:cs="Times New Roman"/>
          <w:sz w:val="21"/>
          <w:szCs w:val="21"/>
        </w:rPr>
        <w:t xml:space="preserve"> This</w:t>
      </w:r>
      <w:proofErr w:type="gramEnd"/>
      <w:r w:rsidRPr="00CB6235">
        <w:rPr>
          <w:rFonts w:ascii="Times New Roman" w:hAnsi="Times New Roman" w:cs="Times New Roman"/>
          <w:sz w:val="21"/>
          <w:szCs w:val="21"/>
        </w:rPr>
        <w:t xml:space="preserve"> ignorance is not bliss; it is a liability. </w:t>
      </w:r>
    </w:p>
    <w:p w14:paraId="3A17952A" w14:textId="54D11D57" w:rsid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This review offers a comprehensive analysis of the medico-legal landscape in India. It dissects the statutory frameworks, judicial precedents, and clinical vulnerabilities that define contemporary practice. By synthesizing data from indexed journal articles and statutory texts, this document serves as a definitive guide to understanding the intersection of dentistry and law.</w:t>
      </w:r>
    </w:p>
    <w:p w14:paraId="17673E46" w14:textId="77777777" w:rsidR="005E17BC" w:rsidRDefault="005E17BC" w:rsidP="00CB6235">
      <w:pPr>
        <w:spacing w:line="480" w:lineRule="auto"/>
        <w:jc w:val="both"/>
        <w:rPr>
          <w:rFonts w:ascii="Times New Roman" w:hAnsi="Times New Roman" w:cs="Times New Roman"/>
          <w:sz w:val="21"/>
          <w:szCs w:val="21"/>
        </w:rPr>
      </w:pPr>
    </w:p>
    <w:p w14:paraId="3EA2F32D" w14:textId="77777777" w:rsidR="005E17BC" w:rsidRPr="00CB6235" w:rsidRDefault="005E17BC" w:rsidP="00CB6235">
      <w:pPr>
        <w:spacing w:line="480" w:lineRule="auto"/>
        <w:jc w:val="both"/>
        <w:rPr>
          <w:rFonts w:ascii="Times New Roman" w:hAnsi="Times New Roman" w:cs="Times New Roman"/>
          <w:sz w:val="21"/>
          <w:szCs w:val="21"/>
        </w:rPr>
      </w:pPr>
    </w:p>
    <w:p w14:paraId="19D64325" w14:textId="77777777" w:rsidR="0030440D" w:rsidRDefault="0030440D" w:rsidP="00CB6235">
      <w:pPr>
        <w:spacing w:line="480" w:lineRule="auto"/>
        <w:jc w:val="both"/>
        <w:rPr>
          <w:rFonts w:ascii="Times New Roman" w:hAnsi="Times New Roman" w:cs="Times New Roman"/>
          <w:b/>
          <w:bCs/>
          <w:sz w:val="21"/>
          <w:szCs w:val="21"/>
        </w:rPr>
      </w:pPr>
    </w:p>
    <w:p w14:paraId="24F4DE46" w14:textId="799D125C" w:rsidR="005D6FFC"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lastRenderedPageBreak/>
        <w:t>THE STATUTORY FRAMEWORK</w:t>
      </w:r>
      <w:r w:rsidRPr="00CB6235">
        <w:rPr>
          <w:rFonts w:ascii="Times New Roman" w:hAnsi="Times New Roman" w:cs="Times New Roman"/>
          <w:sz w:val="21"/>
          <w:szCs w:val="21"/>
        </w:rPr>
        <w:t xml:space="preserve"> </w:t>
      </w:r>
    </w:p>
    <w:p w14:paraId="35C22D5F" w14:textId="04D2C5A4"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The regulation of dentistry in India is not monolithic. It is governed by a constellation of statutes that address different facets of the profession: licensure, education, ethics, and liability.</w:t>
      </w:r>
    </w:p>
    <w:p w14:paraId="3E2BC8B8" w14:textId="77777777" w:rsidR="00A61549"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Constitutional and Ethical Foundations</w:t>
      </w:r>
      <w:r w:rsidRPr="00CB6235">
        <w:rPr>
          <w:rFonts w:ascii="Times New Roman" w:hAnsi="Times New Roman" w:cs="Times New Roman"/>
          <w:sz w:val="21"/>
          <w:szCs w:val="21"/>
        </w:rPr>
        <w:t xml:space="preserve"> </w:t>
      </w:r>
    </w:p>
    <w:p w14:paraId="7553696E" w14:textId="254E43A5"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At the apex of the legal hierarchy is the Constitution of India. Article 21, which guarantees the "Right to Life," has been broadly interpreted by the Supreme Court to include the right to health and medical care.</w:t>
      </w:r>
      <w:r w:rsidR="005208BC" w:rsidRPr="00323060">
        <w:rPr>
          <w:rFonts w:ascii="Times New Roman" w:hAnsi="Times New Roman" w:cs="Times New Roman"/>
          <w:sz w:val="21"/>
          <w:szCs w:val="21"/>
          <w:vertAlign w:val="superscript"/>
        </w:rPr>
        <w:t>5</w:t>
      </w:r>
      <w:r w:rsidRPr="00CB6235">
        <w:rPr>
          <w:rFonts w:ascii="Times New Roman" w:hAnsi="Times New Roman" w:cs="Times New Roman"/>
          <w:sz w:val="21"/>
          <w:szCs w:val="21"/>
        </w:rPr>
        <w:t>. The DCI Code of Ethics (2014) serves as the statutory compass for professional conduct.</w:t>
      </w:r>
      <w:r w:rsidR="005208BC" w:rsidRPr="00323060">
        <w:rPr>
          <w:rFonts w:ascii="Times New Roman" w:hAnsi="Times New Roman" w:cs="Times New Roman"/>
          <w:sz w:val="21"/>
          <w:szCs w:val="21"/>
          <w:vertAlign w:val="superscript"/>
        </w:rPr>
        <w:t xml:space="preserve">6 </w:t>
      </w:r>
      <w:r w:rsidRPr="00CB6235">
        <w:rPr>
          <w:rFonts w:ascii="Times New Roman" w:hAnsi="Times New Roman" w:cs="Times New Roman"/>
          <w:sz w:val="21"/>
          <w:szCs w:val="21"/>
        </w:rPr>
        <w:t>These codes are binding regulations; a violation—such as failing to maintain records or breaching confidentiality—is not just an ethical lapse but a statutory offence that can lead to the suspension of registration under Section 46 of the Dentists Act, 1948.</w:t>
      </w:r>
    </w:p>
    <w:p w14:paraId="6A1F4999" w14:textId="6237A7F1" w:rsidR="005A1ADC"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The Consumer Protection Act (CPA)</w:t>
      </w:r>
    </w:p>
    <w:p w14:paraId="1C008B96" w14:textId="57C65635"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No single piece of legislation has impacted the medical and dental professions in India more profoundly than the CPA. The Inclusion of Healthcare: For a decade after the 1986 enactment, ambiguity existed regarding its applicability to doctors. This was resolved in 1995 by the Supreme Court in the landmark judgment of Indian Medical Association v. V.P. Shantha. The Court held that medical and dental services fall within the definition of "service" under Section 2(1)(o) of the CPA, 1986.</w:t>
      </w:r>
      <w:r w:rsidR="005A1ADC" w:rsidRPr="00323060">
        <w:rPr>
          <w:rFonts w:ascii="Times New Roman" w:hAnsi="Times New Roman" w:cs="Times New Roman"/>
          <w:sz w:val="21"/>
          <w:szCs w:val="21"/>
          <w:vertAlign w:val="superscript"/>
        </w:rPr>
        <w:t>7</w:t>
      </w:r>
      <w:r w:rsidR="00E57DF8">
        <w:rPr>
          <w:rFonts w:ascii="Times New Roman" w:hAnsi="Times New Roman" w:cs="Times New Roman"/>
          <w:sz w:val="21"/>
          <w:szCs w:val="21"/>
          <w:vertAlign w:val="superscript"/>
        </w:rPr>
        <w:t xml:space="preserve"> </w:t>
      </w:r>
      <w:r w:rsidR="0083523E">
        <w:rPr>
          <w:rFonts w:ascii="Times New Roman" w:hAnsi="Times New Roman" w:cs="Times New Roman"/>
          <w:sz w:val="21"/>
          <w:szCs w:val="21"/>
          <w:vertAlign w:val="superscript"/>
        </w:rPr>
        <w:t xml:space="preserve"> </w:t>
      </w:r>
      <w:r w:rsidR="005A1ADC" w:rsidRPr="00323060">
        <w:rPr>
          <w:rFonts w:ascii="Times New Roman" w:hAnsi="Times New Roman" w:cs="Times New Roman"/>
          <w:sz w:val="21"/>
          <w:szCs w:val="21"/>
          <w:vertAlign w:val="superscript"/>
        </w:rPr>
        <w:t xml:space="preserve"> </w:t>
      </w:r>
      <w:r w:rsidRPr="00CB6235">
        <w:rPr>
          <w:rFonts w:ascii="Times New Roman" w:hAnsi="Times New Roman" w:cs="Times New Roman"/>
          <w:sz w:val="21"/>
          <w:szCs w:val="21"/>
        </w:rPr>
        <w:t>The rationale was grounded in the nature of the transaction: if a patient pays for treatment, they are a "consumer," and the doctor is a "service provider."</w:t>
      </w:r>
    </w:p>
    <w:p w14:paraId="58BA7978" w14:textId="77777777" w:rsidR="005D6FFC"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The CPA 2019: The New Paradigm</w:t>
      </w:r>
      <w:r w:rsidRPr="00CB6235">
        <w:rPr>
          <w:rFonts w:ascii="Times New Roman" w:hAnsi="Times New Roman" w:cs="Times New Roman"/>
          <w:sz w:val="21"/>
          <w:szCs w:val="21"/>
        </w:rPr>
        <w:t xml:space="preserve"> </w:t>
      </w:r>
    </w:p>
    <w:p w14:paraId="4A70D836" w14:textId="74AE2B27"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The repeal of the 1986 Act and the enactment of the Consumer Protection Act, 2019 marked a significant evolution.</w:t>
      </w:r>
    </w:p>
    <w:p w14:paraId="662360EA" w14:textId="036F74C7" w:rsidR="00CB6235" w:rsidRPr="00CB6235" w:rsidRDefault="00CB6235" w:rsidP="00CB6235">
      <w:pPr>
        <w:numPr>
          <w:ilvl w:val="0"/>
          <w:numId w:val="1"/>
        </w:num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Pecuniary Jurisdiction:</w:t>
      </w:r>
      <w:r w:rsidRPr="00CB6235">
        <w:rPr>
          <w:rFonts w:ascii="Times New Roman" w:hAnsi="Times New Roman" w:cs="Times New Roman"/>
          <w:sz w:val="21"/>
          <w:szCs w:val="21"/>
        </w:rPr>
        <w:t xml:space="preserve"> The 2019 Act substantially increased the pecuniary jurisdiction of the Consumer Disputes Redressal Commissions. The District Commission now possesses the authority to hear cases up to ₹1 Crore (previously ₹20 Lakhs).</w:t>
      </w:r>
      <w:r w:rsidR="00BA5B28" w:rsidRPr="00323060">
        <w:rPr>
          <w:rFonts w:ascii="Times New Roman" w:hAnsi="Times New Roman" w:cs="Times New Roman"/>
          <w:sz w:val="21"/>
          <w:szCs w:val="21"/>
          <w:vertAlign w:val="superscript"/>
        </w:rPr>
        <w:t>8</w:t>
      </w:r>
      <w:r w:rsidRPr="00CB6235">
        <w:rPr>
          <w:rFonts w:ascii="Times New Roman" w:hAnsi="Times New Roman" w:cs="Times New Roman"/>
          <w:sz w:val="21"/>
          <w:szCs w:val="21"/>
        </w:rPr>
        <w:t xml:space="preserve"> </w:t>
      </w:r>
    </w:p>
    <w:p w14:paraId="7649CDEA" w14:textId="77777777" w:rsidR="00CB6235" w:rsidRPr="00CB6235" w:rsidRDefault="00CB6235" w:rsidP="00CB6235">
      <w:pPr>
        <w:numPr>
          <w:ilvl w:val="0"/>
          <w:numId w:val="1"/>
        </w:num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Product Liability:</w:t>
      </w:r>
      <w:r w:rsidRPr="00CB6235">
        <w:rPr>
          <w:rFonts w:ascii="Times New Roman" w:hAnsi="Times New Roman" w:cs="Times New Roman"/>
          <w:sz w:val="21"/>
          <w:szCs w:val="21"/>
        </w:rPr>
        <w:t xml:space="preserve"> This new chapter is critical for dentistry, a profession reliant on materials. Under the 2019 Act, a dentist can be held liable as a "product service provider" if an implant, crown, or </w:t>
      </w:r>
      <w:r w:rsidRPr="00CB6235">
        <w:rPr>
          <w:rFonts w:ascii="Times New Roman" w:hAnsi="Times New Roman" w:cs="Times New Roman"/>
          <w:sz w:val="21"/>
          <w:szCs w:val="21"/>
        </w:rPr>
        <w:lastRenderedPageBreak/>
        <w:t>orthodontic appliance fails due to faulty installation or failure to issue adequate warnings regarding its maintenance.</w:t>
      </w:r>
    </w:p>
    <w:p w14:paraId="086D9335" w14:textId="77777777" w:rsidR="00CB6235" w:rsidRPr="00CB6235" w:rsidRDefault="00CB6235" w:rsidP="00CB6235">
      <w:pPr>
        <w:numPr>
          <w:ilvl w:val="0"/>
          <w:numId w:val="1"/>
        </w:num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Unfair Contracts:</w:t>
      </w:r>
      <w:r w:rsidRPr="00CB6235">
        <w:rPr>
          <w:rFonts w:ascii="Times New Roman" w:hAnsi="Times New Roman" w:cs="Times New Roman"/>
          <w:sz w:val="21"/>
          <w:szCs w:val="21"/>
        </w:rPr>
        <w:t xml:space="preserve"> The Act empowers commissions to nullify "unfair contracts" where terms are significantly one-sided. In dental practice, this effectively invalidates broad liability waivers. A consent form where a patient "agrees to waive all rights to sue for negligence" would be deemed an unfair contract and struck down.</w:t>
      </w:r>
    </w:p>
    <w:p w14:paraId="6DEECBA6" w14:textId="77777777" w:rsidR="008A707C"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Judicial Uncertainty: The 2024 Developments</w:t>
      </w:r>
      <w:r w:rsidRPr="00CB6235">
        <w:rPr>
          <w:rFonts w:ascii="Times New Roman" w:hAnsi="Times New Roman" w:cs="Times New Roman"/>
          <w:sz w:val="21"/>
          <w:szCs w:val="21"/>
        </w:rPr>
        <w:t xml:space="preserve"> </w:t>
      </w:r>
    </w:p>
    <w:p w14:paraId="6EB4FBD8" w14:textId="2801F4AD"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The legal stability established by V.P. Shantha is currently in flux. In the 2024 judgment of Bar of Indian Lawyers v. D.K. Gandhi, the Supreme Court held that advocates are not liable under the CPA, distinguishing the legal profession as sui generis.</w:t>
      </w:r>
      <w:r w:rsidR="008A707C" w:rsidRPr="00323060">
        <w:rPr>
          <w:rFonts w:ascii="Times New Roman" w:hAnsi="Times New Roman" w:cs="Times New Roman"/>
          <w:sz w:val="21"/>
          <w:szCs w:val="21"/>
          <w:vertAlign w:val="superscript"/>
        </w:rPr>
        <w:t>9</w:t>
      </w:r>
      <w:r w:rsidRPr="00CB6235">
        <w:rPr>
          <w:rFonts w:ascii="Times New Roman" w:hAnsi="Times New Roman" w:cs="Times New Roman"/>
          <w:sz w:val="21"/>
          <w:szCs w:val="21"/>
        </w:rPr>
        <w:t xml:space="preserve"> Importantly, the Court questioned the rationale of the V.P. Shantha judgment and referred the matter to a larger bench. While the Medical Legal Society of India (MLSI) hopes this will exclude doctors from the CPA, the current legal status remains that dentists are liable. Until the larger bench rules otherwise, the V.P. Shantha precedent holds.</w:t>
      </w:r>
    </w:p>
    <w:p w14:paraId="2028554B" w14:textId="77777777" w:rsidR="008A707C"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THE ANATOMY OF DENTAL NEGLIGENCE</w:t>
      </w:r>
      <w:r w:rsidRPr="00CB6235">
        <w:rPr>
          <w:rFonts w:ascii="Times New Roman" w:hAnsi="Times New Roman" w:cs="Times New Roman"/>
          <w:sz w:val="21"/>
          <w:szCs w:val="21"/>
        </w:rPr>
        <w:t xml:space="preserve"> </w:t>
      </w:r>
    </w:p>
    <w:p w14:paraId="302E7206" w14:textId="768668BD" w:rsidR="00CB6235" w:rsidRPr="00CB6235" w:rsidRDefault="00CB6235" w:rsidP="00CB6235">
      <w:pPr>
        <w:spacing w:line="480" w:lineRule="auto"/>
        <w:jc w:val="both"/>
        <w:rPr>
          <w:rFonts w:ascii="Times New Roman" w:hAnsi="Times New Roman" w:cs="Times New Roman"/>
          <w:sz w:val="21"/>
          <w:szCs w:val="21"/>
          <w:vertAlign w:val="superscript"/>
        </w:rPr>
      </w:pPr>
      <w:r w:rsidRPr="00CB6235">
        <w:rPr>
          <w:rFonts w:ascii="Times New Roman" w:hAnsi="Times New Roman" w:cs="Times New Roman"/>
          <w:sz w:val="21"/>
          <w:szCs w:val="21"/>
        </w:rPr>
        <w:t>Negligence is the core concept around which most medico-legal battles are fought. It is defined as the breach of a duty caused by the omission to do something which a reasonable dentist would do, or doing something which a prudent dentist would not do.</w:t>
      </w:r>
      <w:r w:rsidR="008A707C" w:rsidRPr="00323060">
        <w:rPr>
          <w:rFonts w:ascii="Times New Roman" w:hAnsi="Times New Roman" w:cs="Times New Roman"/>
          <w:sz w:val="21"/>
          <w:szCs w:val="21"/>
          <w:vertAlign w:val="superscript"/>
        </w:rPr>
        <w:t>10</w:t>
      </w:r>
    </w:p>
    <w:p w14:paraId="59CAEE2D" w14:textId="77777777" w:rsidR="0022372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The Four Pillars of Liability</w:t>
      </w:r>
      <w:r w:rsidRPr="00CB6235">
        <w:rPr>
          <w:rFonts w:ascii="Times New Roman" w:hAnsi="Times New Roman" w:cs="Times New Roman"/>
          <w:sz w:val="21"/>
          <w:szCs w:val="21"/>
        </w:rPr>
        <w:t xml:space="preserve"> </w:t>
      </w:r>
    </w:p>
    <w:p w14:paraId="00D92108" w14:textId="787C7615"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For a patient to succeed in a negligence claim, they must prove four distinct elements:</w:t>
      </w:r>
    </w:p>
    <w:p w14:paraId="24D4E302" w14:textId="77777777" w:rsidR="00CB6235" w:rsidRPr="00CB6235" w:rsidRDefault="00CB6235" w:rsidP="00CB6235">
      <w:pPr>
        <w:numPr>
          <w:ilvl w:val="0"/>
          <w:numId w:val="2"/>
        </w:num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Duty:</w:t>
      </w:r>
      <w:r w:rsidRPr="00CB6235">
        <w:rPr>
          <w:rFonts w:ascii="Times New Roman" w:hAnsi="Times New Roman" w:cs="Times New Roman"/>
          <w:sz w:val="21"/>
          <w:szCs w:val="21"/>
        </w:rPr>
        <w:t xml:space="preserve"> The duty to treat arises the moment a dentist-patient relationship is established.</w:t>
      </w:r>
    </w:p>
    <w:p w14:paraId="161598ED" w14:textId="77777777" w:rsidR="00CB6235" w:rsidRPr="00CB6235" w:rsidRDefault="00CB6235" w:rsidP="00CB6235">
      <w:pPr>
        <w:numPr>
          <w:ilvl w:val="0"/>
          <w:numId w:val="2"/>
        </w:num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Dereliction (Breach):</w:t>
      </w:r>
      <w:r w:rsidRPr="00CB6235">
        <w:rPr>
          <w:rFonts w:ascii="Times New Roman" w:hAnsi="Times New Roman" w:cs="Times New Roman"/>
          <w:sz w:val="21"/>
          <w:szCs w:val="21"/>
        </w:rPr>
        <w:t xml:space="preserve"> The failure to meet the "Standard of Care."</w:t>
      </w:r>
    </w:p>
    <w:p w14:paraId="559868DE" w14:textId="77777777" w:rsidR="00CB6235" w:rsidRPr="00CB6235" w:rsidRDefault="00CB6235" w:rsidP="00CB6235">
      <w:pPr>
        <w:numPr>
          <w:ilvl w:val="0"/>
          <w:numId w:val="2"/>
        </w:num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Direct Cause:</w:t>
      </w:r>
      <w:r w:rsidRPr="00CB6235">
        <w:rPr>
          <w:rFonts w:ascii="Times New Roman" w:hAnsi="Times New Roman" w:cs="Times New Roman"/>
          <w:sz w:val="21"/>
          <w:szCs w:val="21"/>
        </w:rPr>
        <w:t xml:space="preserve"> A causal link between the breach and the injury.</w:t>
      </w:r>
    </w:p>
    <w:p w14:paraId="52FBE7A6" w14:textId="77777777" w:rsidR="00CB6235" w:rsidRPr="00CB6235" w:rsidRDefault="00CB6235" w:rsidP="00CB6235">
      <w:pPr>
        <w:numPr>
          <w:ilvl w:val="0"/>
          <w:numId w:val="2"/>
        </w:num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Damage:</w:t>
      </w:r>
      <w:r w:rsidRPr="00CB6235">
        <w:rPr>
          <w:rFonts w:ascii="Times New Roman" w:hAnsi="Times New Roman" w:cs="Times New Roman"/>
          <w:sz w:val="21"/>
          <w:szCs w:val="21"/>
        </w:rPr>
        <w:t xml:space="preserve"> Actual harm (physical or financial) suffered by the patient.</w:t>
      </w:r>
    </w:p>
    <w:p w14:paraId="57D33AA5" w14:textId="77777777" w:rsidR="009A1692" w:rsidRDefault="009A1692" w:rsidP="00CB6235">
      <w:pPr>
        <w:spacing w:line="480" w:lineRule="auto"/>
        <w:jc w:val="both"/>
        <w:rPr>
          <w:rFonts w:ascii="Times New Roman" w:hAnsi="Times New Roman" w:cs="Times New Roman"/>
          <w:b/>
          <w:bCs/>
          <w:sz w:val="21"/>
          <w:szCs w:val="21"/>
        </w:rPr>
      </w:pPr>
    </w:p>
    <w:p w14:paraId="38FD1371" w14:textId="77777777" w:rsidR="009A1692" w:rsidRDefault="009A1692" w:rsidP="00CB6235">
      <w:pPr>
        <w:spacing w:line="480" w:lineRule="auto"/>
        <w:jc w:val="both"/>
        <w:rPr>
          <w:rFonts w:ascii="Times New Roman" w:hAnsi="Times New Roman" w:cs="Times New Roman"/>
          <w:b/>
          <w:bCs/>
          <w:sz w:val="21"/>
          <w:szCs w:val="21"/>
        </w:rPr>
      </w:pPr>
    </w:p>
    <w:p w14:paraId="758A715E" w14:textId="5D7DAA59" w:rsidR="0022372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lastRenderedPageBreak/>
        <w:t>The Bolam Test and Standard of Care</w:t>
      </w:r>
      <w:r w:rsidRPr="00CB6235">
        <w:rPr>
          <w:rFonts w:ascii="Times New Roman" w:hAnsi="Times New Roman" w:cs="Times New Roman"/>
          <w:sz w:val="21"/>
          <w:szCs w:val="21"/>
        </w:rPr>
        <w:t xml:space="preserve"> </w:t>
      </w:r>
    </w:p>
    <w:p w14:paraId="24F2A91E" w14:textId="4DE891F1"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Indian courts strictly adhere to "The Bolam Rule," originating from the English case Bolam v Friern Hospital Management Committee (1957).</w:t>
      </w:r>
      <w:r w:rsidR="008A707C" w:rsidRPr="00323060">
        <w:rPr>
          <w:rFonts w:ascii="Times New Roman" w:hAnsi="Times New Roman" w:cs="Times New Roman"/>
          <w:sz w:val="21"/>
          <w:szCs w:val="21"/>
          <w:vertAlign w:val="superscript"/>
        </w:rPr>
        <w:t>1</w:t>
      </w:r>
      <w:r w:rsidR="00B15EB0">
        <w:rPr>
          <w:rFonts w:ascii="Times New Roman" w:hAnsi="Times New Roman" w:cs="Times New Roman"/>
          <w:sz w:val="21"/>
          <w:szCs w:val="21"/>
          <w:vertAlign w:val="superscript"/>
        </w:rPr>
        <w:t>1</w:t>
      </w:r>
      <w:r w:rsidRPr="00CB6235">
        <w:rPr>
          <w:rFonts w:ascii="Times New Roman" w:hAnsi="Times New Roman" w:cs="Times New Roman"/>
          <w:sz w:val="21"/>
          <w:szCs w:val="21"/>
        </w:rPr>
        <w:t xml:space="preserve"> Under this rule, a dentist is not</w:t>
      </w:r>
      <w:r w:rsidRPr="00CB6235">
        <w:rPr>
          <w:rFonts w:ascii="Times New Roman" w:hAnsi="Times New Roman" w:cs="Times New Roman"/>
          <w:b/>
          <w:bCs/>
          <w:sz w:val="21"/>
          <w:szCs w:val="21"/>
        </w:rPr>
        <w:t xml:space="preserve"> </w:t>
      </w:r>
      <w:r w:rsidRPr="00CB6235">
        <w:rPr>
          <w:rFonts w:ascii="Times New Roman" w:hAnsi="Times New Roman" w:cs="Times New Roman"/>
          <w:sz w:val="21"/>
          <w:szCs w:val="21"/>
        </w:rPr>
        <w:t xml:space="preserve">guilty of negligence if they have acted in accordance with a practice accepted as proper by a responsible body of dental opinion, even if another body of opinion holds a contrary view. </w:t>
      </w:r>
    </w:p>
    <w:p w14:paraId="445E3E83" w14:textId="77777777" w:rsidR="0022372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Contributory Negligence</w:t>
      </w:r>
      <w:r w:rsidRPr="00CB6235">
        <w:rPr>
          <w:rFonts w:ascii="Times New Roman" w:hAnsi="Times New Roman" w:cs="Times New Roman"/>
          <w:sz w:val="21"/>
          <w:szCs w:val="21"/>
        </w:rPr>
        <w:t xml:space="preserve"> </w:t>
      </w:r>
    </w:p>
    <w:p w14:paraId="40737421" w14:textId="5B2C0F92" w:rsidR="00CB6235" w:rsidRPr="00CB6235" w:rsidRDefault="00CB6235" w:rsidP="00CB6235">
      <w:pPr>
        <w:spacing w:line="480" w:lineRule="auto"/>
        <w:jc w:val="both"/>
        <w:rPr>
          <w:rFonts w:ascii="Times New Roman" w:hAnsi="Times New Roman" w:cs="Times New Roman"/>
          <w:sz w:val="21"/>
          <w:szCs w:val="21"/>
          <w:vertAlign w:val="superscript"/>
        </w:rPr>
      </w:pPr>
      <w:r w:rsidRPr="00CB6235">
        <w:rPr>
          <w:rFonts w:ascii="Times New Roman" w:hAnsi="Times New Roman" w:cs="Times New Roman"/>
          <w:sz w:val="21"/>
          <w:szCs w:val="21"/>
        </w:rPr>
        <w:t>A vital defence for dentists is the doctrine of "Contributory Negligence." If a patient fails to follow post-operative instructions (e.g., smoking after an extraction leading to dry socket, or failing to attend follow-up appointments), and this negligence contributes to the injury, the dentist’s liability is reduced or eliminated. Documenting patient non-compliance is therefore essential for defence.</w:t>
      </w:r>
      <w:r w:rsidR="008A707C" w:rsidRPr="00323060">
        <w:rPr>
          <w:rFonts w:ascii="Times New Roman" w:hAnsi="Times New Roman" w:cs="Times New Roman"/>
          <w:sz w:val="21"/>
          <w:szCs w:val="21"/>
          <w:vertAlign w:val="superscript"/>
        </w:rPr>
        <w:t>12</w:t>
      </w:r>
    </w:p>
    <w:p w14:paraId="4C948343" w14:textId="77777777" w:rsidR="0022372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Criminal Liability</w:t>
      </w:r>
      <w:r w:rsidRPr="00CB6235">
        <w:rPr>
          <w:rFonts w:ascii="Times New Roman" w:hAnsi="Times New Roman" w:cs="Times New Roman"/>
          <w:sz w:val="21"/>
          <w:szCs w:val="21"/>
        </w:rPr>
        <w:t xml:space="preserve"> </w:t>
      </w:r>
    </w:p>
    <w:p w14:paraId="283AF812" w14:textId="6E9105B2"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Criminal negligence involves a higher threshold: "Gross Negligence." In Jacob Mathew v. State of Punjab, the Supreme Court laid down safeguards to prevent the harassment of doctors.</w:t>
      </w:r>
      <w:r w:rsidR="008A707C" w:rsidRPr="00323060">
        <w:rPr>
          <w:rFonts w:ascii="Times New Roman" w:hAnsi="Times New Roman" w:cs="Times New Roman"/>
          <w:sz w:val="21"/>
          <w:szCs w:val="21"/>
          <w:vertAlign w:val="superscript"/>
        </w:rPr>
        <w:t>13</w:t>
      </w:r>
      <w:r w:rsidR="008A707C" w:rsidRPr="00323060">
        <w:rPr>
          <w:rFonts w:ascii="Times New Roman" w:hAnsi="Times New Roman" w:cs="Times New Roman"/>
          <w:sz w:val="21"/>
          <w:szCs w:val="21"/>
        </w:rPr>
        <w:t xml:space="preserve"> </w:t>
      </w:r>
      <w:r w:rsidRPr="00CB6235">
        <w:rPr>
          <w:rFonts w:ascii="Times New Roman" w:hAnsi="Times New Roman" w:cs="Times New Roman"/>
          <w:sz w:val="21"/>
          <w:szCs w:val="21"/>
        </w:rPr>
        <w:t>A private criminal complaint cannot be entertained without prima facie evidence in the form of a credible opinion from another competent doctor. Police cannot arrest a doctor routinely; they must first obtain an independent medical opinion establishing that the rashness was of such a degree as to amount to a crime.</w:t>
      </w:r>
    </w:p>
    <w:p w14:paraId="3B07B30B" w14:textId="77777777" w:rsidR="00127B99"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INFORMED CONSENT: THE ETHICAL CORNERSTONE</w:t>
      </w:r>
      <w:r w:rsidRPr="00CB6235">
        <w:rPr>
          <w:rFonts w:ascii="Times New Roman" w:hAnsi="Times New Roman" w:cs="Times New Roman"/>
          <w:sz w:val="21"/>
          <w:szCs w:val="21"/>
        </w:rPr>
        <w:t xml:space="preserve"> </w:t>
      </w:r>
    </w:p>
    <w:p w14:paraId="794B9B75" w14:textId="5E9FFF08" w:rsidR="00CB6235" w:rsidRPr="00CB6235" w:rsidRDefault="00CB6235" w:rsidP="00CB6235">
      <w:pPr>
        <w:spacing w:line="480" w:lineRule="auto"/>
        <w:jc w:val="both"/>
        <w:rPr>
          <w:rFonts w:ascii="Times New Roman" w:hAnsi="Times New Roman" w:cs="Times New Roman"/>
          <w:sz w:val="21"/>
          <w:szCs w:val="21"/>
          <w:vertAlign w:val="superscript"/>
        </w:rPr>
      </w:pPr>
      <w:r w:rsidRPr="00CB6235">
        <w:rPr>
          <w:rFonts w:ascii="Times New Roman" w:hAnsi="Times New Roman" w:cs="Times New Roman"/>
          <w:sz w:val="21"/>
          <w:szCs w:val="21"/>
        </w:rPr>
        <w:t>The doctrine of informed consent has evolved from a mere formality to a substantive human right. In India, consent is both an ethical duty under the DCI Code and a legal requirement.</w:t>
      </w:r>
      <w:r w:rsidR="008A707C" w:rsidRPr="00323060">
        <w:rPr>
          <w:rFonts w:ascii="Times New Roman" w:hAnsi="Times New Roman" w:cs="Times New Roman"/>
          <w:sz w:val="21"/>
          <w:szCs w:val="21"/>
          <w:vertAlign w:val="superscript"/>
        </w:rPr>
        <w:t>14</w:t>
      </w:r>
    </w:p>
    <w:p w14:paraId="2A38C008" w14:textId="77777777" w:rsidR="00127B99"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Validity and The Reality Gap</w:t>
      </w:r>
      <w:r w:rsidRPr="00CB6235">
        <w:rPr>
          <w:rFonts w:ascii="Times New Roman" w:hAnsi="Times New Roman" w:cs="Times New Roman"/>
          <w:sz w:val="21"/>
          <w:szCs w:val="21"/>
        </w:rPr>
        <w:t xml:space="preserve"> </w:t>
      </w:r>
    </w:p>
    <w:p w14:paraId="0D33ACFA" w14:textId="00489B4E" w:rsidR="00437B88"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 xml:space="preserve">Valid consent must be voluntary, obtained from a competent adult, and "informed." The dentist must disclose the diagnosis, nature of treatment, material risks, alternatives, and costs. Despite these mandates, research reveals a disturbing gap. A study in </w:t>
      </w:r>
      <w:r w:rsidR="00F431B0">
        <w:rPr>
          <w:rFonts w:ascii="Times New Roman" w:hAnsi="Times New Roman" w:cs="Times New Roman"/>
          <w:sz w:val="21"/>
          <w:szCs w:val="21"/>
        </w:rPr>
        <w:t>South India</w:t>
      </w:r>
      <w:r w:rsidRPr="00CB6235">
        <w:rPr>
          <w:rFonts w:ascii="Times New Roman" w:hAnsi="Times New Roman" w:cs="Times New Roman"/>
          <w:sz w:val="21"/>
          <w:szCs w:val="21"/>
        </w:rPr>
        <w:t xml:space="preserve"> found that while </w:t>
      </w:r>
      <w:r w:rsidR="008E633E">
        <w:rPr>
          <w:rFonts w:ascii="Times New Roman" w:hAnsi="Times New Roman" w:cs="Times New Roman"/>
          <w:sz w:val="21"/>
          <w:szCs w:val="21"/>
        </w:rPr>
        <w:t>most of</w:t>
      </w:r>
      <w:r w:rsidRPr="00CB6235">
        <w:rPr>
          <w:rFonts w:ascii="Times New Roman" w:hAnsi="Times New Roman" w:cs="Times New Roman"/>
          <w:sz w:val="21"/>
          <w:szCs w:val="21"/>
        </w:rPr>
        <w:t xml:space="preserve"> general practitioners obtained written consent, 100% of them used only a "general consent" form (a blanket permission) rather than procedure-specific consent.</w:t>
      </w:r>
      <w:r w:rsidR="00127B99" w:rsidRPr="00323060">
        <w:rPr>
          <w:rFonts w:ascii="Times New Roman" w:hAnsi="Times New Roman" w:cs="Times New Roman"/>
          <w:sz w:val="21"/>
          <w:szCs w:val="21"/>
          <w:vertAlign w:val="superscript"/>
        </w:rPr>
        <w:t>15</w:t>
      </w:r>
      <w:r w:rsidR="00127B99" w:rsidRPr="00323060">
        <w:rPr>
          <w:rFonts w:ascii="Times New Roman" w:hAnsi="Times New Roman" w:cs="Times New Roman"/>
          <w:sz w:val="21"/>
          <w:szCs w:val="21"/>
        </w:rPr>
        <w:t xml:space="preserve"> </w:t>
      </w:r>
      <w:r w:rsidRPr="00CB6235">
        <w:rPr>
          <w:rFonts w:ascii="Times New Roman" w:hAnsi="Times New Roman" w:cs="Times New Roman"/>
          <w:sz w:val="21"/>
          <w:szCs w:val="21"/>
        </w:rPr>
        <w:t xml:space="preserve">Such blanket forms are often legally invalid for specific complications like </w:t>
      </w:r>
      <w:r w:rsidR="00127B99" w:rsidRPr="00323060">
        <w:rPr>
          <w:rFonts w:ascii="Times New Roman" w:hAnsi="Times New Roman" w:cs="Times New Roman"/>
          <w:sz w:val="21"/>
          <w:szCs w:val="21"/>
        </w:rPr>
        <w:t>paraesthesia</w:t>
      </w:r>
      <w:r w:rsidRPr="00CB6235">
        <w:rPr>
          <w:rFonts w:ascii="Times New Roman" w:hAnsi="Times New Roman" w:cs="Times New Roman"/>
          <w:sz w:val="21"/>
          <w:szCs w:val="21"/>
        </w:rPr>
        <w:t xml:space="preserve"> or instrument separation.</w:t>
      </w:r>
    </w:p>
    <w:p w14:paraId="1AB6D932" w14:textId="6C622BB5" w:rsidR="00127B99"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lastRenderedPageBreak/>
        <w:t>Informed Refusal</w:t>
      </w:r>
      <w:r w:rsidRPr="00CB6235">
        <w:rPr>
          <w:rFonts w:ascii="Times New Roman" w:hAnsi="Times New Roman" w:cs="Times New Roman"/>
          <w:sz w:val="21"/>
          <w:szCs w:val="21"/>
        </w:rPr>
        <w:t xml:space="preserve"> </w:t>
      </w:r>
    </w:p>
    <w:p w14:paraId="3138011F" w14:textId="41A60FBF"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Equally important is the doctrine of "Informed Refusal." If a patient refuses a necessary diagnostic test (e.g., an X-ray for a root canal) or treatment, the dentist must document this refusal. This protects the dentist from claims of "failure to diagnose" or "supervised neglect" later on.</w:t>
      </w:r>
    </w:p>
    <w:p w14:paraId="5343C82F" w14:textId="77777777" w:rsidR="00127B99"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CLINICAL VULNERABILITIES BY SPECIALTY</w:t>
      </w:r>
      <w:r w:rsidRPr="00CB6235">
        <w:rPr>
          <w:rFonts w:ascii="Times New Roman" w:hAnsi="Times New Roman" w:cs="Times New Roman"/>
          <w:sz w:val="21"/>
          <w:szCs w:val="21"/>
        </w:rPr>
        <w:t xml:space="preserve"> </w:t>
      </w:r>
    </w:p>
    <w:p w14:paraId="5754BC2F" w14:textId="77777777" w:rsidR="008E0429"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Endodontics: The Minefield of Micro-Instruments</w:t>
      </w:r>
      <w:r w:rsidRPr="00CB6235">
        <w:rPr>
          <w:rFonts w:ascii="Times New Roman" w:hAnsi="Times New Roman" w:cs="Times New Roman"/>
          <w:sz w:val="21"/>
          <w:szCs w:val="21"/>
        </w:rPr>
        <w:t xml:space="preserve"> </w:t>
      </w:r>
    </w:p>
    <w:p w14:paraId="4C8FD13C" w14:textId="319F476D"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Endodontics is a high-risk specialty. Instrument separation is a common complication. Legally, the breakage itself may be considered a "mishap" (not negligence) if the dentist used proper technique. However, negligence arises from the failure to inform the patient of the breakage.</w:t>
      </w:r>
      <w:r w:rsidR="00A11337" w:rsidRPr="00323060">
        <w:rPr>
          <w:rFonts w:ascii="Times New Roman" w:hAnsi="Times New Roman" w:cs="Times New Roman"/>
          <w:sz w:val="21"/>
          <w:szCs w:val="21"/>
          <w:vertAlign w:val="superscript"/>
        </w:rPr>
        <w:t>16</w:t>
      </w:r>
      <w:r w:rsidRPr="00CB6235">
        <w:rPr>
          <w:rFonts w:ascii="Times New Roman" w:hAnsi="Times New Roman" w:cs="Times New Roman"/>
          <w:sz w:val="21"/>
          <w:szCs w:val="21"/>
        </w:rPr>
        <w:t xml:space="preserve"> </w:t>
      </w:r>
    </w:p>
    <w:p w14:paraId="59A7BF62" w14:textId="77777777" w:rsidR="00075C4E"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Oral Implantology and Surgery</w:t>
      </w:r>
      <w:r w:rsidRPr="00CB6235">
        <w:rPr>
          <w:rFonts w:ascii="Times New Roman" w:hAnsi="Times New Roman" w:cs="Times New Roman"/>
          <w:sz w:val="21"/>
          <w:szCs w:val="21"/>
        </w:rPr>
        <w:t xml:space="preserve"> </w:t>
      </w:r>
    </w:p>
    <w:p w14:paraId="445AD5DF" w14:textId="65D28E3E"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 xml:space="preserve">As implant dentistry becomes ubiquitous, it has become a leading source of litigation. Damage to the Inferior Alveolar Nerve (IAN) causing </w:t>
      </w:r>
      <w:r w:rsidR="00A11337" w:rsidRPr="00323060">
        <w:rPr>
          <w:rFonts w:ascii="Times New Roman" w:hAnsi="Times New Roman" w:cs="Times New Roman"/>
          <w:sz w:val="21"/>
          <w:szCs w:val="21"/>
        </w:rPr>
        <w:t>paraesthesia</w:t>
      </w:r>
      <w:r w:rsidRPr="00CB6235">
        <w:rPr>
          <w:rFonts w:ascii="Times New Roman" w:hAnsi="Times New Roman" w:cs="Times New Roman"/>
          <w:sz w:val="21"/>
          <w:szCs w:val="21"/>
        </w:rPr>
        <w:t xml:space="preserve"> is a primary cause of action.</w:t>
      </w:r>
      <w:r w:rsidR="00A11337" w:rsidRPr="00323060">
        <w:rPr>
          <w:rFonts w:ascii="Times New Roman" w:hAnsi="Times New Roman" w:cs="Times New Roman"/>
          <w:sz w:val="21"/>
          <w:szCs w:val="21"/>
          <w:vertAlign w:val="superscript"/>
        </w:rPr>
        <w:t>17</w:t>
      </w:r>
      <w:r w:rsidRPr="00CB6235">
        <w:rPr>
          <w:rFonts w:ascii="Times New Roman" w:hAnsi="Times New Roman" w:cs="Times New Roman"/>
          <w:sz w:val="21"/>
          <w:szCs w:val="21"/>
        </w:rPr>
        <w:t xml:space="preserve"> Liability often hinges on "failure to warn" about the risk of nerve damage in the consent form or improper treatment planning (e.g., lack of CBCT). In exodontia, jaw fractures and extraction of the wrong tooth remain classic examples of negligence that are difficult to defend.</w:t>
      </w:r>
    </w:p>
    <w:p w14:paraId="7D634886" w14:textId="77777777" w:rsidR="00A11337"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Orthodontics: The Communication Trap</w:t>
      </w:r>
      <w:r w:rsidRPr="00CB6235">
        <w:rPr>
          <w:rFonts w:ascii="Times New Roman" w:hAnsi="Times New Roman" w:cs="Times New Roman"/>
          <w:sz w:val="21"/>
          <w:szCs w:val="21"/>
        </w:rPr>
        <w:t xml:space="preserve"> </w:t>
      </w:r>
    </w:p>
    <w:p w14:paraId="6BCB9524" w14:textId="0B0D155F"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 xml:space="preserve">Orthodontics presents a paradox: it is a low-risk specialty for life-threatening emergencies but a high-risk specialty for litigation due to the long duration of treatment and aesthetic focus. </w:t>
      </w:r>
      <w:r w:rsidR="008E633E">
        <w:rPr>
          <w:rFonts w:ascii="Times New Roman" w:hAnsi="Times New Roman" w:cs="Times New Roman"/>
          <w:sz w:val="21"/>
          <w:szCs w:val="21"/>
        </w:rPr>
        <w:t>Most</w:t>
      </w:r>
      <w:r w:rsidRPr="00CB6235">
        <w:rPr>
          <w:rFonts w:ascii="Times New Roman" w:hAnsi="Times New Roman" w:cs="Times New Roman"/>
          <w:sz w:val="21"/>
          <w:szCs w:val="21"/>
        </w:rPr>
        <w:t xml:space="preserve"> of orthodontic lawsuits are triggered not by poor clinical results but by "poor interaction" or communication breakdowns.</w:t>
      </w:r>
      <w:r w:rsidR="00A11337" w:rsidRPr="00323060">
        <w:rPr>
          <w:rFonts w:ascii="Times New Roman" w:hAnsi="Times New Roman" w:cs="Times New Roman"/>
          <w:sz w:val="21"/>
          <w:szCs w:val="21"/>
          <w:vertAlign w:val="superscript"/>
        </w:rPr>
        <w:t>18</w:t>
      </w:r>
      <w:r w:rsidRPr="00CB6235">
        <w:rPr>
          <w:rFonts w:ascii="Times New Roman" w:hAnsi="Times New Roman" w:cs="Times New Roman"/>
          <w:sz w:val="21"/>
          <w:szCs w:val="21"/>
        </w:rPr>
        <w:t xml:space="preserve"> Root resorption is a known biological risk; if a patient is not warned about this possibility, the occurrence of resorption can be successfully litigated as negligence.</w:t>
      </w:r>
    </w:p>
    <w:p w14:paraId="01707216" w14:textId="77777777" w:rsidR="00A11337" w:rsidRPr="00323060" w:rsidRDefault="00A11337" w:rsidP="00CB6235">
      <w:pPr>
        <w:spacing w:line="480" w:lineRule="auto"/>
        <w:jc w:val="both"/>
        <w:rPr>
          <w:rFonts w:ascii="Times New Roman" w:hAnsi="Times New Roman" w:cs="Times New Roman"/>
          <w:sz w:val="21"/>
          <w:szCs w:val="21"/>
        </w:rPr>
      </w:pPr>
      <w:r w:rsidRPr="00323060">
        <w:rPr>
          <w:rFonts w:ascii="Times New Roman" w:hAnsi="Times New Roman" w:cs="Times New Roman"/>
          <w:b/>
          <w:bCs/>
          <w:sz w:val="21"/>
          <w:szCs w:val="21"/>
        </w:rPr>
        <w:t>Paediatric</w:t>
      </w:r>
      <w:r w:rsidR="00CB6235" w:rsidRPr="00CB6235">
        <w:rPr>
          <w:rFonts w:ascii="Times New Roman" w:hAnsi="Times New Roman" w:cs="Times New Roman"/>
          <w:b/>
          <w:bCs/>
          <w:sz w:val="21"/>
          <w:szCs w:val="21"/>
        </w:rPr>
        <w:t xml:space="preserve"> Dentistry</w:t>
      </w:r>
      <w:r w:rsidR="00CB6235" w:rsidRPr="00CB6235">
        <w:rPr>
          <w:rFonts w:ascii="Times New Roman" w:hAnsi="Times New Roman" w:cs="Times New Roman"/>
          <w:sz w:val="21"/>
          <w:szCs w:val="21"/>
        </w:rPr>
        <w:t xml:space="preserve"> </w:t>
      </w:r>
    </w:p>
    <w:p w14:paraId="7C256AB4" w14:textId="52919576"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Treating minors introduces the complexity of "proxy consent." Consent must be obtained from the parent or legal guardian. The use of physical restraint without explicit written parental consent can be legally construed as assault or battery.</w:t>
      </w:r>
    </w:p>
    <w:p w14:paraId="6598C8B9" w14:textId="77777777" w:rsidR="00505F02"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lastRenderedPageBreak/>
        <w:t>DOCUMENTATION AND INSURANCE</w:t>
      </w:r>
      <w:r w:rsidRPr="00CB6235">
        <w:rPr>
          <w:rFonts w:ascii="Times New Roman" w:hAnsi="Times New Roman" w:cs="Times New Roman"/>
          <w:sz w:val="21"/>
          <w:szCs w:val="21"/>
        </w:rPr>
        <w:t xml:space="preserve"> </w:t>
      </w:r>
    </w:p>
    <w:p w14:paraId="427B797F" w14:textId="11F0FFFA"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In the eyes of the law, "Poor records mean no defence, and no records mean negligence."</w:t>
      </w:r>
      <w:r w:rsidR="00A11337" w:rsidRPr="00323060">
        <w:rPr>
          <w:rFonts w:ascii="Times New Roman" w:hAnsi="Times New Roman" w:cs="Times New Roman"/>
          <w:sz w:val="21"/>
          <w:szCs w:val="21"/>
          <w:vertAlign w:val="superscript"/>
        </w:rPr>
        <w:t>19</w:t>
      </w:r>
      <w:r w:rsidRPr="00CB6235">
        <w:rPr>
          <w:rFonts w:ascii="Times New Roman" w:hAnsi="Times New Roman" w:cs="Times New Roman"/>
          <w:sz w:val="21"/>
          <w:szCs w:val="21"/>
        </w:rPr>
        <w:t xml:space="preserve"> Documentation is the primary evidence used by courts to reconstruct the events of treatment.</w:t>
      </w:r>
    </w:p>
    <w:p w14:paraId="4F7C143F" w14:textId="77777777" w:rsidR="008E0429"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Record Retention and Digitization</w:t>
      </w:r>
      <w:r w:rsidRPr="00CB6235">
        <w:rPr>
          <w:rFonts w:ascii="Times New Roman" w:hAnsi="Times New Roman" w:cs="Times New Roman"/>
          <w:sz w:val="21"/>
          <w:szCs w:val="21"/>
        </w:rPr>
        <w:t xml:space="preserve"> </w:t>
      </w:r>
    </w:p>
    <w:p w14:paraId="15F0CB97" w14:textId="4683F5DE"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While the CPA limitation period is two years from the "cause of action," the "discovery rule" implies that the clock starts when the patient discovers the injury. Therefore, indefinite retention of records is the safest policy. With the advent of the Digital Information Security in Healthcare Act (DISHA) guidelines, Electronic Health Records (EHR) must be tamper-proof, with audit trails that prevent the retrospective alteration of notes.</w:t>
      </w:r>
    </w:p>
    <w:p w14:paraId="3389836C" w14:textId="77777777" w:rsidR="008E0429"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Professional Indemnity Insurance (PII)</w:t>
      </w:r>
      <w:r w:rsidRPr="00CB6235">
        <w:rPr>
          <w:rFonts w:ascii="Times New Roman" w:hAnsi="Times New Roman" w:cs="Times New Roman"/>
          <w:sz w:val="21"/>
          <w:szCs w:val="21"/>
        </w:rPr>
        <w:t xml:space="preserve"> </w:t>
      </w:r>
    </w:p>
    <w:p w14:paraId="51BF1A26" w14:textId="24D7C281"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In an era of</w:t>
      </w:r>
      <w:r w:rsidR="001B1B81" w:rsidRPr="00323060">
        <w:rPr>
          <w:rFonts w:ascii="Times New Roman" w:hAnsi="Times New Roman" w:cs="Times New Roman"/>
          <w:sz w:val="21"/>
          <w:szCs w:val="21"/>
        </w:rPr>
        <w:t xml:space="preserve"> </w:t>
      </w:r>
      <w:r w:rsidRPr="00CB6235">
        <w:rPr>
          <w:rFonts w:ascii="Times New Roman" w:hAnsi="Times New Roman" w:cs="Times New Roman"/>
          <w:sz w:val="21"/>
          <w:szCs w:val="21"/>
        </w:rPr>
        <w:t>claims, practicing without insurance is financial suicide. The "deep pocket" theory suggests that patients often target professionals perceived to have the ability to pay. Despite this, studies show that nearly 70% of Indian practitioners do not have PII.</w:t>
      </w:r>
      <w:r w:rsidR="00A11337" w:rsidRPr="00323060">
        <w:rPr>
          <w:rFonts w:ascii="Times New Roman" w:hAnsi="Times New Roman" w:cs="Times New Roman"/>
          <w:sz w:val="21"/>
          <w:szCs w:val="21"/>
          <w:vertAlign w:val="superscript"/>
        </w:rPr>
        <w:t xml:space="preserve">20 </w:t>
      </w:r>
    </w:p>
    <w:p w14:paraId="67DA2C3C" w14:textId="77777777" w:rsidR="00505F02" w:rsidRPr="00323060"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CONCLUSION</w:t>
      </w:r>
      <w:r w:rsidRPr="00CB6235">
        <w:rPr>
          <w:rFonts w:ascii="Times New Roman" w:hAnsi="Times New Roman" w:cs="Times New Roman"/>
          <w:sz w:val="21"/>
          <w:szCs w:val="21"/>
        </w:rPr>
        <w:t xml:space="preserve"> </w:t>
      </w:r>
    </w:p>
    <w:p w14:paraId="46E7BDA8" w14:textId="662AD85A" w:rsidR="00CA2AAA" w:rsidRPr="00323060" w:rsidRDefault="00CA2AAA" w:rsidP="00CB6235">
      <w:pPr>
        <w:spacing w:line="480" w:lineRule="auto"/>
        <w:jc w:val="both"/>
        <w:rPr>
          <w:rFonts w:ascii="Times New Roman" w:hAnsi="Times New Roman" w:cs="Times New Roman"/>
          <w:sz w:val="21"/>
          <w:szCs w:val="21"/>
        </w:rPr>
      </w:pPr>
      <w:r w:rsidRPr="00323060">
        <w:rPr>
          <w:rFonts w:ascii="Times New Roman" w:hAnsi="Times New Roman" w:cs="Times New Roman"/>
          <w:sz w:val="21"/>
          <w:szCs w:val="21"/>
        </w:rPr>
        <w:t>The practice of dentistry in India has irrevocably changed. The protective shield of "professional status" has been pierced by consumer law. The journey from V.P. Shantha to D.K. Gandhi illustrates a trajectory towards greater accountability. For the practitioner, safety lies in a tripartite strategy: clinical excellence (Bolam test), administrative rigour (documentation and consent), and financial prudence (indemnity insurance). Ultimately, the best defence is not a lawyer, but an ethical, communicative relationship with the patient.</w:t>
      </w:r>
    </w:p>
    <w:p w14:paraId="6EBA4999" w14:textId="77777777" w:rsidR="00CB6235" w:rsidRPr="00CB6235" w:rsidRDefault="00CB6235" w:rsidP="00CB6235">
      <w:pPr>
        <w:spacing w:line="480" w:lineRule="auto"/>
        <w:jc w:val="both"/>
        <w:rPr>
          <w:rFonts w:ascii="Times New Roman" w:hAnsi="Times New Roman" w:cs="Times New Roman"/>
          <w:sz w:val="21"/>
          <w:szCs w:val="21"/>
        </w:rPr>
      </w:pPr>
      <w:r w:rsidRPr="00CB6235">
        <w:rPr>
          <w:rFonts w:ascii="Times New Roman" w:hAnsi="Times New Roman" w:cs="Times New Roman"/>
          <w:b/>
          <w:bCs/>
          <w:sz w:val="21"/>
          <w:szCs w:val="21"/>
        </w:rPr>
        <w:t>REFERENCES</w:t>
      </w:r>
    </w:p>
    <w:p w14:paraId="7BA67661" w14:textId="47B7E630" w:rsidR="00CB6235" w:rsidRPr="00CB6235" w:rsidRDefault="003051C8" w:rsidP="00CB6235">
      <w:pPr>
        <w:numPr>
          <w:ilvl w:val="0"/>
          <w:numId w:val="4"/>
        </w:numPr>
        <w:spacing w:line="480" w:lineRule="auto"/>
        <w:jc w:val="both"/>
        <w:rPr>
          <w:rFonts w:ascii="Times New Roman" w:hAnsi="Times New Roman" w:cs="Times New Roman"/>
          <w:sz w:val="21"/>
          <w:szCs w:val="21"/>
        </w:rPr>
      </w:pPr>
      <w:r w:rsidRPr="003051C8">
        <w:rPr>
          <w:rFonts w:ascii="Times New Roman" w:hAnsi="Times New Roman" w:cs="Times New Roman"/>
          <w:sz w:val="21"/>
          <w:szCs w:val="21"/>
        </w:rPr>
        <w:t>Bhadauria US, Dasar PL, Sandesh N, Mishra P, Godha S. Medico-legal aspect of dental practice. Clujul Med. 2018 Jul;91(3):255-258. doi: 10.15386/cjmed-764. Epub 2018 Jul 31. PMID: 30093801; PMCID: PMC6082610.</w:t>
      </w:r>
    </w:p>
    <w:p w14:paraId="3C18548F" w14:textId="693A8F33" w:rsidR="00CB6235" w:rsidRPr="00CB6235" w:rsidRDefault="00DC3B99" w:rsidP="00CB6235">
      <w:pPr>
        <w:numPr>
          <w:ilvl w:val="0"/>
          <w:numId w:val="4"/>
        </w:numPr>
        <w:spacing w:line="480" w:lineRule="auto"/>
        <w:jc w:val="both"/>
        <w:rPr>
          <w:rFonts w:ascii="Times New Roman" w:hAnsi="Times New Roman" w:cs="Times New Roman"/>
          <w:sz w:val="21"/>
          <w:szCs w:val="21"/>
        </w:rPr>
      </w:pPr>
      <w:r w:rsidRPr="00DC3B99">
        <w:rPr>
          <w:rFonts w:ascii="Times New Roman" w:hAnsi="Times New Roman" w:cs="Times New Roman"/>
          <w:sz w:val="21"/>
          <w:szCs w:val="21"/>
        </w:rPr>
        <w:t>Radhika T, Nadeem J, Arthi R, Nithya S. Awareness about medico legal aspects and Consumer Protection Act among dentists. J Forensic Odontostomatol. 2017 Jul 1;35(1):1-8. PMID: 29381480; PMCID: PMC6035757</w:t>
      </w:r>
    </w:p>
    <w:p w14:paraId="0C70CC64" w14:textId="5A9A0B19" w:rsidR="00CB6235" w:rsidRPr="00CB6235" w:rsidRDefault="00142B31" w:rsidP="00CB6235">
      <w:pPr>
        <w:numPr>
          <w:ilvl w:val="0"/>
          <w:numId w:val="4"/>
        </w:numPr>
        <w:spacing w:line="480" w:lineRule="auto"/>
        <w:jc w:val="both"/>
        <w:rPr>
          <w:rFonts w:ascii="Times New Roman" w:hAnsi="Times New Roman" w:cs="Times New Roman"/>
          <w:sz w:val="21"/>
          <w:szCs w:val="21"/>
        </w:rPr>
      </w:pPr>
      <w:r w:rsidRPr="00142B31">
        <w:rPr>
          <w:rFonts w:ascii="Times New Roman" w:hAnsi="Times New Roman" w:cs="Times New Roman"/>
          <w:sz w:val="21"/>
          <w:szCs w:val="21"/>
        </w:rPr>
        <w:lastRenderedPageBreak/>
        <w:t xml:space="preserve">Singh G, Gambhir RS, Singh S, Talwar PS, Munjal V. Knowledge and awareness of the Consumer Protection Act among dental professionals in India: A systematic review. Indian J Dent. 2014 Jul;5(3):146-51. doi: 10.4103/0975-962X.140831. PMID: 25565744; PMCID: PMC4213879. </w:t>
      </w:r>
    </w:p>
    <w:p w14:paraId="5E5DD505" w14:textId="4044FB6F" w:rsidR="00CB6235" w:rsidRPr="00CB6235" w:rsidRDefault="0084785A" w:rsidP="00CB6235">
      <w:pPr>
        <w:numPr>
          <w:ilvl w:val="0"/>
          <w:numId w:val="4"/>
        </w:numPr>
        <w:spacing w:line="480" w:lineRule="auto"/>
        <w:jc w:val="both"/>
        <w:rPr>
          <w:rFonts w:ascii="Times New Roman" w:hAnsi="Times New Roman" w:cs="Times New Roman"/>
          <w:sz w:val="21"/>
          <w:szCs w:val="21"/>
        </w:rPr>
      </w:pPr>
      <w:proofErr w:type="spellStart"/>
      <w:r w:rsidRPr="0084785A">
        <w:rPr>
          <w:rFonts w:ascii="Times New Roman" w:hAnsi="Times New Roman" w:cs="Times New Roman"/>
          <w:sz w:val="21"/>
          <w:szCs w:val="21"/>
        </w:rPr>
        <w:t>Vilvadrinath</w:t>
      </w:r>
      <w:proofErr w:type="spellEnd"/>
      <w:r w:rsidRPr="0084785A">
        <w:rPr>
          <w:rFonts w:ascii="Times New Roman" w:hAnsi="Times New Roman" w:cs="Times New Roman"/>
          <w:sz w:val="21"/>
          <w:szCs w:val="21"/>
        </w:rPr>
        <w:t xml:space="preserve"> S, Kadam S, Ingle R, Rathod D. Dental Negligence and Consumer Protection Act- The Indian Scenario. Int J Eth Trauma Victimology. 2024;10(1):32-34. </w:t>
      </w:r>
    </w:p>
    <w:p w14:paraId="50C1FF9A" w14:textId="77777777" w:rsidR="00CB6235" w:rsidRPr="00CB6235" w:rsidRDefault="00CB6235" w:rsidP="00CB6235">
      <w:pPr>
        <w:numPr>
          <w:ilvl w:val="0"/>
          <w:numId w:val="4"/>
        </w:num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Constitution of India, 1950. Article 21.</w:t>
      </w:r>
    </w:p>
    <w:p w14:paraId="3D77882B" w14:textId="77777777" w:rsidR="00CB6235" w:rsidRPr="00CB6235" w:rsidRDefault="00CB6235" w:rsidP="00CB6235">
      <w:pPr>
        <w:numPr>
          <w:ilvl w:val="0"/>
          <w:numId w:val="4"/>
        </w:num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Dental Council of India. Revised Code of Dental Ethics Regulations, 2014. New Delhi: DCI; 2014.</w:t>
      </w:r>
    </w:p>
    <w:p w14:paraId="2DAFAF91" w14:textId="77777777" w:rsidR="00CB6235" w:rsidRPr="00CB6235" w:rsidRDefault="00CB6235" w:rsidP="00CB6235">
      <w:pPr>
        <w:numPr>
          <w:ilvl w:val="0"/>
          <w:numId w:val="4"/>
        </w:num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Indian Medical Association v. V.P. Shantha and Others. AIR 1996 SC 550.</w:t>
      </w:r>
    </w:p>
    <w:p w14:paraId="47EF0E44" w14:textId="77777777" w:rsidR="00CB6235" w:rsidRPr="00CB6235" w:rsidRDefault="00CB6235" w:rsidP="00CB6235">
      <w:pPr>
        <w:numPr>
          <w:ilvl w:val="0"/>
          <w:numId w:val="4"/>
        </w:num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The Consumer Protection Act, 2019. No. 35 of 2019. Gazette of India. 2019 Aug 9.</w:t>
      </w:r>
    </w:p>
    <w:p w14:paraId="39031035" w14:textId="77777777" w:rsidR="00CB6235" w:rsidRPr="00CB6235" w:rsidRDefault="00CB6235" w:rsidP="00CB6235">
      <w:pPr>
        <w:numPr>
          <w:ilvl w:val="0"/>
          <w:numId w:val="4"/>
        </w:num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Bar of Indian Lawyers v. D.K. Gandhi PS National Institute of Communicable Diseases. Civil Appeal No. 2649 of 2009.</w:t>
      </w:r>
    </w:p>
    <w:p w14:paraId="4591A25C" w14:textId="758A4DAC" w:rsidR="00CB6235" w:rsidRPr="00CB6235" w:rsidRDefault="005B5485" w:rsidP="00CB6235">
      <w:pPr>
        <w:numPr>
          <w:ilvl w:val="0"/>
          <w:numId w:val="4"/>
        </w:numPr>
        <w:spacing w:line="480" w:lineRule="auto"/>
        <w:jc w:val="both"/>
        <w:rPr>
          <w:rFonts w:ascii="Times New Roman" w:hAnsi="Times New Roman" w:cs="Times New Roman"/>
          <w:sz w:val="21"/>
          <w:szCs w:val="21"/>
        </w:rPr>
      </w:pPr>
      <w:r w:rsidRPr="005B5485">
        <w:rPr>
          <w:rFonts w:ascii="Times New Roman" w:hAnsi="Times New Roman" w:cs="Times New Roman"/>
          <w:sz w:val="21"/>
          <w:szCs w:val="21"/>
        </w:rPr>
        <w:t>Kumari, Shail; Mishra, Sunil Kumar1; Chowdhary, Ramesh2. Dental Negligence: It Is Time to Overcome It. Scientific Dental Journal 4(2</w:t>
      </w:r>
      <w:proofErr w:type="gramStart"/>
      <w:r w:rsidRPr="005B5485">
        <w:rPr>
          <w:rFonts w:ascii="Times New Roman" w:hAnsi="Times New Roman" w:cs="Times New Roman"/>
          <w:sz w:val="21"/>
          <w:szCs w:val="21"/>
        </w:rPr>
        <w:t>):p</w:t>
      </w:r>
      <w:proofErr w:type="gramEnd"/>
      <w:r w:rsidRPr="005B5485">
        <w:rPr>
          <w:rFonts w:ascii="Times New Roman" w:hAnsi="Times New Roman" w:cs="Times New Roman"/>
          <w:sz w:val="21"/>
          <w:szCs w:val="21"/>
        </w:rPr>
        <w:t xml:space="preserve"> 39-43, May–Aug 2020. | DOI: 10.4103/SDJ.SDJ_28_19</w:t>
      </w:r>
      <w:r>
        <w:rPr>
          <w:rFonts w:ascii="Times New Roman" w:hAnsi="Times New Roman" w:cs="Times New Roman"/>
          <w:sz w:val="21"/>
          <w:szCs w:val="21"/>
        </w:rPr>
        <w:t>.</w:t>
      </w:r>
      <w:r w:rsidRPr="005B5485">
        <w:rPr>
          <w:rFonts w:ascii="Times New Roman" w:hAnsi="Times New Roman" w:cs="Times New Roman"/>
          <w:sz w:val="21"/>
          <w:szCs w:val="21"/>
        </w:rPr>
        <w:t xml:space="preserve"> </w:t>
      </w:r>
    </w:p>
    <w:p w14:paraId="7F0E8CD8" w14:textId="77777777" w:rsidR="00CB6235" w:rsidRPr="00CB6235" w:rsidRDefault="00CB6235" w:rsidP="00CB6235">
      <w:pPr>
        <w:numPr>
          <w:ilvl w:val="0"/>
          <w:numId w:val="4"/>
        </w:num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Bolam v Friern Hospital Management Committee. 1 WLR 582; 1957.</w:t>
      </w:r>
    </w:p>
    <w:p w14:paraId="6C3E2A1C" w14:textId="2AF36C30" w:rsidR="00CB6235" w:rsidRPr="00CB6235" w:rsidRDefault="00655688" w:rsidP="00CB6235">
      <w:pPr>
        <w:numPr>
          <w:ilvl w:val="0"/>
          <w:numId w:val="4"/>
        </w:numPr>
        <w:spacing w:line="480" w:lineRule="auto"/>
        <w:jc w:val="both"/>
        <w:rPr>
          <w:rFonts w:ascii="Times New Roman" w:hAnsi="Times New Roman" w:cs="Times New Roman"/>
          <w:sz w:val="21"/>
          <w:szCs w:val="21"/>
        </w:rPr>
      </w:pPr>
      <w:r w:rsidRPr="00655688">
        <w:rPr>
          <w:rFonts w:ascii="Times New Roman" w:hAnsi="Times New Roman" w:cs="Times New Roman"/>
          <w:sz w:val="21"/>
          <w:szCs w:val="21"/>
        </w:rPr>
        <w:t>Kale, Satishchandra &amp; Mali, Mahaveer. (2023). THE ROLE OF CONTRIBUTORY NEGLIGENCE IN ALLEGED CASES OF MEDICAL NEGLIGENCE – A REVIEW. ShodhKosh: Journal of Visual and Performing Arts. 4. 10.29121/</w:t>
      </w:r>
      <w:proofErr w:type="gramStart"/>
      <w:r w:rsidRPr="00655688">
        <w:rPr>
          <w:rFonts w:ascii="Times New Roman" w:hAnsi="Times New Roman" w:cs="Times New Roman"/>
          <w:sz w:val="21"/>
          <w:szCs w:val="21"/>
        </w:rPr>
        <w:t>shodhkosh.v4.i</w:t>
      </w:r>
      <w:proofErr w:type="gramEnd"/>
      <w:r w:rsidRPr="00655688">
        <w:rPr>
          <w:rFonts w:ascii="Times New Roman" w:hAnsi="Times New Roman" w:cs="Times New Roman"/>
          <w:sz w:val="21"/>
          <w:szCs w:val="21"/>
        </w:rPr>
        <w:t xml:space="preserve">1.2023.5662. </w:t>
      </w:r>
    </w:p>
    <w:p w14:paraId="27E266E4" w14:textId="77777777" w:rsidR="00CB6235" w:rsidRPr="00CB6235" w:rsidRDefault="00CB6235" w:rsidP="00CB6235">
      <w:pPr>
        <w:numPr>
          <w:ilvl w:val="0"/>
          <w:numId w:val="4"/>
        </w:numPr>
        <w:spacing w:line="480" w:lineRule="auto"/>
        <w:jc w:val="both"/>
        <w:rPr>
          <w:rFonts w:ascii="Times New Roman" w:hAnsi="Times New Roman" w:cs="Times New Roman"/>
          <w:sz w:val="21"/>
          <w:szCs w:val="21"/>
        </w:rPr>
      </w:pPr>
      <w:r w:rsidRPr="00CB6235">
        <w:rPr>
          <w:rFonts w:ascii="Times New Roman" w:hAnsi="Times New Roman" w:cs="Times New Roman"/>
          <w:sz w:val="21"/>
          <w:szCs w:val="21"/>
        </w:rPr>
        <w:t>Jacob Mathew v. State of Punjab &amp; Anr. AIR 2005 SC 3180.</w:t>
      </w:r>
    </w:p>
    <w:p w14:paraId="3391EFE7" w14:textId="6D520BC9" w:rsidR="00CB6235" w:rsidRPr="00CB6235" w:rsidRDefault="00774047" w:rsidP="00CB6235">
      <w:pPr>
        <w:numPr>
          <w:ilvl w:val="0"/>
          <w:numId w:val="4"/>
        </w:numPr>
        <w:spacing w:line="480" w:lineRule="auto"/>
        <w:jc w:val="both"/>
        <w:rPr>
          <w:rFonts w:ascii="Times New Roman" w:hAnsi="Times New Roman" w:cs="Times New Roman"/>
          <w:sz w:val="21"/>
          <w:szCs w:val="21"/>
        </w:rPr>
      </w:pPr>
      <w:r w:rsidRPr="00774047">
        <w:rPr>
          <w:rFonts w:ascii="Times New Roman" w:hAnsi="Times New Roman" w:cs="Times New Roman"/>
          <w:sz w:val="21"/>
          <w:szCs w:val="21"/>
        </w:rPr>
        <w:t>Kakar H, Gambhir RS, Singh S, Kaur A, Nanda T. Informed consent: corner stone in ethical medical and dental practice. J Family Med Prim Care. 2014 Jan;3(1):68-71. doi: 10.4103/2249-4863.130284. PMID: 24791241; PMCID: PMC4005206</w:t>
      </w:r>
    </w:p>
    <w:p w14:paraId="00AD37CE" w14:textId="7C56CA86" w:rsidR="00CB6235" w:rsidRPr="00CB6235" w:rsidRDefault="00EB2013" w:rsidP="00CB6235">
      <w:pPr>
        <w:numPr>
          <w:ilvl w:val="0"/>
          <w:numId w:val="4"/>
        </w:numPr>
        <w:spacing w:line="480" w:lineRule="auto"/>
        <w:jc w:val="both"/>
        <w:rPr>
          <w:rFonts w:ascii="Times New Roman" w:hAnsi="Times New Roman" w:cs="Times New Roman"/>
          <w:sz w:val="21"/>
          <w:szCs w:val="21"/>
        </w:rPr>
      </w:pPr>
      <w:r w:rsidRPr="00EB2013">
        <w:rPr>
          <w:rFonts w:ascii="Times New Roman" w:hAnsi="Times New Roman" w:cs="Times New Roman"/>
          <w:sz w:val="21"/>
          <w:szCs w:val="21"/>
        </w:rPr>
        <w:t xml:space="preserve">Peter, Elbe &amp; Narayan, Vivek &amp; Babu, Abhilash &amp; Omprakash, Nandimath &amp; Kalarikkal, Roshna &amp; Baiju, </w:t>
      </w:r>
      <w:proofErr w:type="gramStart"/>
      <w:r w:rsidRPr="00EB2013">
        <w:rPr>
          <w:rFonts w:ascii="Times New Roman" w:hAnsi="Times New Roman" w:cs="Times New Roman"/>
          <w:sz w:val="21"/>
          <w:szCs w:val="21"/>
        </w:rPr>
        <w:t>R.M..</w:t>
      </w:r>
      <w:proofErr w:type="gramEnd"/>
      <w:r w:rsidRPr="00EB2013">
        <w:rPr>
          <w:rFonts w:ascii="Times New Roman" w:hAnsi="Times New Roman" w:cs="Times New Roman"/>
          <w:sz w:val="21"/>
          <w:szCs w:val="21"/>
        </w:rPr>
        <w:t xml:space="preserve"> (2023). Informed Consent in Dental Practice: A Qualitative Analysis of Awareness </w:t>
      </w:r>
      <w:r w:rsidRPr="00EB2013">
        <w:rPr>
          <w:rFonts w:ascii="Times New Roman" w:hAnsi="Times New Roman" w:cs="Times New Roman"/>
          <w:sz w:val="21"/>
          <w:szCs w:val="21"/>
        </w:rPr>
        <w:lastRenderedPageBreak/>
        <w:t>and Apprehensions Among Practitioners in South India. International Journal of Social Science and Human Research. 06. 10.47191/</w:t>
      </w:r>
      <w:proofErr w:type="spellStart"/>
      <w:r w:rsidRPr="00EB2013">
        <w:rPr>
          <w:rFonts w:ascii="Times New Roman" w:hAnsi="Times New Roman" w:cs="Times New Roman"/>
          <w:sz w:val="21"/>
          <w:szCs w:val="21"/>
        </w:rPr>
        <w:t>ijsshr</w:t>
      </w:r>
      <w:proofErr w:type="spellEnd"/>
      <w:r w:rsidRPr="00EB2013">
        <w:rPr>
          <w:rFonts w:ascii="Times New Roman" w:hAnsi="Times New Roman" w:cs="Times New Roman"/>
          <w:sz w:val="21"/>
          <w:szCs w:val="21"/>
        </w:rPr>
        <w:t>/v6-i2-32</w:t>
      </w:r>
    </w:p>
    <w:p w14:paraId="104286DF" w14:textId="2454E1B2" w:rsidR="00CB6235" w:rsidRPr="00CB6235" w:rsidRDefault="0001256F" w:rsidP="00CB6235">
      <w:pPr>
        <w:numPr>
          <w:ilvl w:val="0"/>
          <w:numId w:val="4"/>
        </w:numPr>
        <w:spacing w:line="480" w:lineRule="auto"/>
        <w:jc w:val="both"/>
        <w:rPr>
          <w:rFonts w:ascii="Times New Roman" w:hAnsi="Times New Roman" w:cs="Times New Roman"/>
          <w:sz w:val="21"/>
          <w:szCs w:val="21"/>
        </w:rPr>
      </w:pPr>
      <w:r w:rsidRPr="0001256F">
        <w:rPr>
          <w:rFonts w:ascii="Times New Roman" w:hAnsi="Times New Roman" w:cs="Times New Roman"/>
          <w:sz w:val="21"/>
          <w:szCs w:val="21"/>
        </w:rPr>
        <w:t xml:space="preserve">Ramugade MM, Sagale AA. A Review of Medicolegal Considerations of Endodontic Practice for General Dental Practitioners. J Int Soc Prev Community Dent. 2018 Jul-Aug;8(4):283-288. doi: 10.4103/jispcd.JISPCD_206_18. Epub 2018 Jul 18. PMID: 30123758; PMCID: PMC6071360. </w:t>
      </w:r>
      <w:r w:rsidR="00CB6235" w:rsidRPr="00CB6235">
        <w:rPr>
          <w:rFonts w:ascii="Times New Roman" w:hAnsi="Times New Roman" w:cs="Times New Roman"/>
          <w:sz w:val="21"/>
          <w:szCs w:val="21"/>
        </w:rPr>
        <w:t xml:space="preserve">Gambhir RS, Singh G. </w:t>
      </w:r>
    </w:p>
    <w:p w14:paraId="633CD2DB" w14:textId="41E881E1" w:rsidR="00CB6235" w:rsidRPr="00CB6235" w:rsidRDefault="002B671D" w:rsidP="00CB6235">
      <w:pPr>
        <w:numPr>
          <w:ilvl w:val="0"/>
          <w:numId w:val="4"/>
        </w:numPr>
        <w:spacing w:line="480" w:lineRule="auto"/>
        <w:jc w:val="both"/>
        <w:rPr>
          <w:rFonts w:ascii="Times New Roman" w:hAnsi="Times New Roman" w:cs="Times New Roman"/>
          <w:sz w:val="21"/>
          <w:szCs w:val="21"/>
        </w:rPr>
      </w:pPr>
      <w:r w:rsidRPr="002B671D">
        <w:rPr>
          <w:rFonts w:ascii="Times New Roman" w:hAnsi="Times New Roman" w:cs="Times New Roman"/>
          <w:sz w:val="21"/>
          <w:szCs w:val="21"/>
        </w:rPr>
        <w:t>Juodzbalys G, Wang HL, Sabalys G. Injury of the Inferior Alveolar Nerve during Implant Placement: a Literature Review. J Oral Maxillofac Res. 2011 Apr 1;2(1</w:t>
      </w:r>
      <w:proofErr w:type="gramStart"/>
      <w:r w:rsidRPr="002B671D">
        <w:rPr>
          <w:rFonts w:ascii="Times New Roman" w:hAnsi="Times New Roman" w:cs="Times New Roman"/>
          <w:sz w:val="21"/>
          <w:szCs w:val="21"/>
        </w:rPr>
        <w:t>):e</w:t>
      </w:r>
      <w:proofErr w:type="gramEnd"/>
      <w:r w:rsidRPr="002B671D">
        <w:rPr>
          <w:rFonts w:ascii="Times New Roman" w:hAnsi="Times New Roman" w:cs="Times New Roman"/>
          <w:sz w:val="21"/>
          <w:szCs w:val="21"/>
        </w:rPr>
        <w:t>1. doi: 10.5037/jomr.2011.2101. PMID: 24421983; PMCID: PMC3886063</w:t>
      </w:r>
      <w:r w:rsidR="00CB6235" w:rsidRPr="00CB6235">
        <w:rPr>
          <w:rFonts w:ascii="Times New Roman" w:hAnsi="Times New Roman" w:cs="Times New Roman"/>
          <w:sz w:val="21"/>
          <w:szCs w:val="21"/>
        </w:rPr>
        <w:t xml:space="preserve"> </w:t>
      </w:r>
    </w:p>
    <w:p w14:paraId="2F720998" w14:textId="516E64C4" w:rsidR="00CB6235" w:rsidRPr="00CB6235" w:rsidRDefault="00CF07A6" w:rsidP="00CB6235">
      <w:pPr>
        <w:numPr>
          <w:ilvl w:val="0"/>
          <w:numId w:val="4"/>
        </w:numPr>
        <w:spacing w:line="480" w:lineRule="auto"/>
        <w:jc w:val="both"/>
        <w:rPr>
          <w:rFonts w:ascii="Times New Roman" w:hAnsi="Times New Roman" w:cs="Times New Roman"/>
          <w:sz w:val="21"/>
          <w:szCs w:val="21"/>
        </w:rPr>
      </w:pPr>
      <w:r w:rsidRPr="00CF07A6">
        <w:rPr>
          <w:rFonts w:ascii="Times New Roman" w:hAnsi="Times New Roman" w:cs="Times New Roman"/>
          <w:sz w:val="21"/>
          <w:szCs w:val="21"/>
        </w:rPr>
        <w:t xml:space="preserve">Costanza-Gugiu F, </w:t>
      </w:r>
      <w:proofErr w:type="spellStart"/>
      <w:r w:rsidRPr="00CF07A6">
        <w:rPr>
          <w:rFonts w:ascii="Times New Roman" w:hAnsi="Times New Roman" w:cs="Times New Roman"/>
          <w:sz w:val="21"/>
          <w:szCs w:val="21"/>
        </w:rPr>
        <w:t>Cernega</w:t>
      </w:r>
      <w:proofErr w:type="spellEnd"/>
      <w:r w:rsidRPr="00CF07A6">
        <w:rPr>
          <w:rFonts w:ascii="Times New Roman" w:hAnsi="Times New Roman" w:cs="Times New Roman"/>
          <w:sz w:val="21"/>
          <w:szCs w:val="21"/>
        </w:rPr>
        <w:t xml:space="preserve"> A, </w:t>
      </w:r>
      <w:proofErr w:type="spellStart"/>
      <w:r w:rsidRPr="00CF07A6">
        <w:rPr>
          <w:rFonts w:ascii="Times New Roman" w:hAnsi="Times New Roman" w:cs="Times New Roman"/>
          <w:sz w:val="21"/>
          <w:szCs w:val="21"/>
        </w:rPr>
        <w:t>Pițuru</w:t>
      </w:r>
      <w:proofErr w:type="spellEnd"/>
      <w:r w:rsidRPr="00CF07A6">
        <w:rPr>
          <w:rFonts w:ascii="Times New Roman" w:hAnsi="Times New Roman" w:cs="Times New Roman"/>
          <w:sz w:val="21"/>
          <w:szCs w:val="21"/>
        </w:rPr>
        <w:t xml:space="preserve"> SM. Medico-Legal Implications and Risk Management Strategies in Orthodontic Practice: An Analytical Literature Review. Healthcare (Basel). 2025 Nov 25;13(23):3054. doi: 10.3390/healthcare13233054. PMID: 41373271; PMCID: PMC12692298. </w:t>
      </w:r>
    </w:p>
    <w:p w14:paraId="44E6C8E9" w14:textId="1D0EAEC4" w:rsidR="00CB6235" w:rsidRDefault="002C7385" w:rsidP="00CB6235">
      <w:pPr>
        <w:numPr>
          <w:ilvl w:val="0"/>
          <w:numId w:val="4"/>
        </w:numPr>
        <w:spacing w:line="480" w:lineRule="auto"/>
        <w:jc w:val="both"/>
        <w:rPr>
          <w:rFonts w:ascii="Times New Roman" w:hAnsi="Times New Roman" w:cs="Times New Roman"/>
          <w:sz w:val="21"/>
          <w:szCs w:val="21"/>
        </w:rPr>
      </w:pPr>
      <w:r w:rsidRPr="002C7385">
        <w:rPr>
          <w:rFonts w:ascii="Times New Roman" w:hAnsi="Times New Roman" w:cs="Times New Roman"/>
          <w:sz w:val="21"/>
          <w:szCs w:val="21"/>
        </w:rPr>
        <w:t xml:space="preserve">Gupta A, Mishra G, Bhutani H, Hoshing C, Bhalla A. Forensic revolution </w:t>
      </w:r>
      <w:proofErr w:type="gramStart"/>
      <w:r w:rsidRPr="002C7385">
        <w:rPr>
          <w:rFonts w:ascii="Times New Roman" w:hAnsi="Times New Roman" w:cs="Times New Roman"/>
          <w:sz w:val="21"/>
          <w:szCs w:val="21"/>
        </w:rPr>
        <w:t>need</w:t>
      </w:r>
      <w:proofErr w:type="gramEnd"/>
      <w:r w:rsidRPr="002C7385">
        <w:rPr>
          <w:rFonts w:ascii="Times New Roman" w:hAnsi="Times New Roman" w:cs="Times New Roman"/>
          <w:sz w:val="21"/>
          <w:szCs w:val="21"/>
        </w:rPr>
        <w:t xml:space="preserve"> maintenance of dental records of patients by the dentists: A descriptive study. J Int Soc Prev Community Dent. 2016 Jul-Aug;6(4):316-20. doi: 10.4103/2231-0762.186799. PMID: 27583219; PMCID: PMC4981933.</w:t>
      </w:r>
    </w:p>
    <w:p w14:paraId="2E2FEC2E" w14:textId="77777777" w:rsidR="00224D04" w:rsidRPr="00224D04" w:rsidRDefault="00224D04" w:rsidP="00224D04">
      <w:pPr>
        <w:pStyle w:val="ListParagraph"/>
        <w:numPr>
          <w:ilvl w:val="0"/>
          <w:numId w:val="4"/>
        </w:numPr>
        <w:spacing w:line="480" w:lineRule="auto"/>
        <w:jc w:val="both"/>
        <w:rPr>
          <w:rFonts w:ascii="Times New Roman" w:hAnsi="Times New Roman" w:cs="Times New Roman"/>
          <w:sz w:val="21"/>
          <w:szCs w:val="21"/>
        </w:rPr>
      </w:pPr>
      <w:r w:rsidRPr="00224D04">
        <w:rPr>
          <w:rFonts w:ascii="Times New Roman" w:hAnsi="Times New Roman" w:cs="Times New Roman"/>
          <w:sz w:val="21"/>
          <w:szCs w:val="21"/>
        </w:rPr>
        <w:t xml:space="preserve">Gupta D, Thomas S, Dagli R, Solanki J, Bhateja GA, Mahajan R. Professional indemnity insurance used among graduated and post graduated dental surgeons in Mumbai city, India. J Health Res Rev </w:t>
      </w:r>
      <w:proofErr w:type="gramStart"/>
      <w:r w:rsidRPr="00224D04">
        <w:rPr>
          <w:rFonts w:ascii="Times New Roman" w:hAnsi="Times New Roman" w:cs="Times New Roman"/>
          <w:sz w:val="21"/>
          <w:szCs w:val="21"/>
        </w:rPr>
        <w:t>2014;1:44</w:t>
      </w:r>
      <w:proofErr w:type="gramEnd"/>
      <w:r w:rsidRPr="00224D04">
        <w:rPr>
          <w:rFonts w:ascii="Times New Roman" w:hAnsi="Times New Roman" w:cs="Times New Roman"/>
          <w:sz w:val="21"/>
          <w:szCs w:val="21"/>
        </w:rPr>
        <w:t>-8. </w:t>
      </w:r>
    </w:p>
    <w:p w14:paraId="4D3610D0" w14:textId="77777777" w:rsidR="00224D04" w:rsidRPr="00CB6235" w:rsidRDefault="00224D04" w:rsidP="00224D04">
      <w:pPr>
        <w:spacing w:line="480" w:lineRule="auto"/>
        <w:ind w:left="720"/>
        <w:jc w:val="both"/>
        <w:rPr>
          <w:rFonts w:ascii="Times New Roman" w:hAnsi="Times New Roman" w:cs="Times New Roman"/>
          <w:sz w:val="21"/>
          <w:szCs w:val="21"/>
        </w:rPr>
      </w:pPr>
    </w:p>
    <w:p w14:paraId="0D2CDB44" w14:textId="77777777" w:rsidR="00224D04" w:rsidRPr="00224D04" w:rsidRDefault="00224D04">
      <w:pPr>
        <w:rPr>
          <w:rFonts w:ascii="Times New Roman" w:hAnsi="Times New Roman" w:cs="Times New Roman"/>
        </w:rPr>
      </w:pPr>
    </w:p>
    <w:sectPr w:rsidR="00224D04" w:rsidRPr="00224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6F2E"/>
    <w:multiLevelType w:val="multilevel"/>
    <w:tmpl w:val="18561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46780C"/>
    <w:multiLevelType w:val="multilevel"/>
    <w:tmpl w:val="6E94A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4A745A"/>
    <w:multiLevelType w:val="multilevel"/>
    <w:tmpl w:val="D3DA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B972E5"/>
    <w:multiLevelType w:val="multilevel"/>
    <w:tmpl w:val="37CE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6538924">
    <w:abstractNumId w:val="1"/>
  </w:num>
  <w:num w:numId="2" w16cid:durableId="392042636">
    <w:abstractNumId w:val="0"/>
  </w:num>
  <w:num w:numId="3" w16cid:durableId="36054971">
    <w:abstractNumId w:val="2"/>
  </w:num>
  <w:num w:numId="4" w16cid:durableId="1966691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61"/>
    <w:rsid w:val="0001256F"/>
    <w:rsid w:val="00034BE1"/>
    <w:rsid w:val="00037765"/>
    <w:rsid w:val="00075C4E"/>
    <w:rsid w:val="00097757"/>
    <w:rsid w:val="000A0520"/>
    <w:rsid w:val="000B49FD"/>
    <w:rsid w:val="001048BA"/>
    <w:rsid w:val="00105613"/>
    <w:rsid w:val="00127B99"/>
    <w:rsid w:val="00142B31"/>
    <w:rsid w:val="00181CD6"/>
    <w:rsid w:val="001B1B81"/>
    <w:rsid w:val="001C3342"/>
    <w:rsid w:val="00223720"/>
    <w:rsid w:val="00224D04"/>
    <w:rsid w:val="002B671D"/>
    <w:rsid w:val="002C7385"/>
    <w:rsid w:val="002D7494"/>
    <w:rsid w:val="002F363E"/>
    <w:rsid w:val="0030440D"/>
    <w:rsid w:val="003051C8"/>
    <w:rsid w:val="00322BED"/>
    <w:rsid w:val="00323060"/>
    <w:rsid w:val="00423A3C"/>
    <w:rsid w:val="00433BF9"/>
    <w:rsid w:val="00437B88"/>
    <w:rsid w:val="00441FE8"/>
    <w:rsid w:val="00455C91"/>
    <w:rsid w:val="00505F02"/>
    <w:rsid w:val="005208BC"/>
    <w:rsid w:val="005576EE"/>
    <w:rsid w:val="005679BC"/>
    <w:rsid w:val="00582B33"/>
    <w:rsid w:val="005A1ADC"/>
    <w:rsid w:val="005B5485"/>
    <w:rsid w:val="005D6FFC"/>
    <w:rsid w:val="005E17BC"/>
    <w:rsid w:val="0065432B"/>
    <w:rsid w:val="00655688"/>
    <w:rsid w:val="00661BED"/>
    <w:rsid w:val="007648CE"/>
    <w:rsid w:val="00774047"/>
    <w:rsid w:val="008144A2"/>
    <w:rsid w:val="0083523E"/>
    <w:rsid w:val="0084785A"/>
    <w:rsid w:val="00865A4D"/>
    <w:rsid w:val="008A707C"/>
    <w:rsid w:val="008E0429"/>
    <w:rsid w:val="008E633E"/>
    <w:rsid w:val="00901C35"/>
    <w:rsid w:val="00910A15"/>
    <w:rsid w:val="009A1692"/>
    <w:rsid w:val="009A5286"/>
    <w:rsid w:val="009E7C61"/>
    <w:rsid w:val="009F3313"/>
    <w:rsid w:val="00A11337"/>
    <w:rsid w:val="00A45AEE"/>
    <w:rsid w:val="00A5755B"/>
    <w:rsid w:val="00A61549"/>
    <w:rsid w:val="00AA5B40"/>
    <w:rsid w:val="00B15EB0"/>
    <w:rsid w:val="00B23462"/>
    <w:rsid w:val="00B7117A"/>
    <w:rsid w:val="00BA21E2"/>
    <w:rsid w:val="00BA2477"/>
    <w:rsid w:val="00BA5B28"/>
    <w:rsid w:val="00BB36A2"/>
    <w:rsid w:val="00BC104E"/>
    <w:rsid w:val="00C67ED1"/>
    <w:rsid w:val="00CA2AAA"/>
    <w:rsid w:val="00CB6235"/>
    <w:rsid w:val="00CD7A0B"/>
    <w:rsid w:val="00CF07A6"/>
    <w:rsid w:val="00D05D19"/>
    <w:rsid w:val="00DB68E4"/>
    <w:rsid w:val="00DC3B99"/>
    <w:rsid w:val="00DE34DC"/>
    <w:rsid w:val="00E57DF8"/>
    <w:rsid w:val="00E96B89"/>
    <w:rsid w:val="00EA3BD0"/>
    <w:rsid w:val="00EB2013"/>
    <w:rsid w:val="00EC130F"/>
    <w:rsid w:val="00ED55C7"/>
    <w:rsid w:val="00EF5243"/>
    <w:rsid w:val="00F431B0"/>
    <w:rsid w:val="00F44C35"/>
    <w:rsid w:val="00F81A62"/>
    <w:rsid w:val="00F863B8"/>
    <w:rsid w:val="00F91816"/>
    <w:rsid w:val="00FA1D5B"/>
    <w:rsid w:val="00FA3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6590"/>
  <w15:chartTrackingRefBased/>
  <w15:docId w15:val="{AEF8E0A1-F1F8-47E8-B797-96489EC2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C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C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C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C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C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C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C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C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C61"/>
    <w:rPr>
      <w:rFonts w:eastAsiaTheme="majorEastAsia" w:cstheme="majorBidi"/>
      <w:color w:val="272727" w:themeColor="text1" w:themeTint="D8"/>
    </w:rPr>
  </w:style>
  <w:style w:type="paragraph" w:styleId="Title">
    <w:name w:val="Title"/>
    <w:basedOn w:val="Normal"/>
    <w:next w:val="Normal"/>
    <w:link w:val="TitleChar"/>
    <w:uiPriority w:val="10"/>
    <w:qFormat/>
    <w:rsid w:val="009E7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C61"/>
    <w:pPr>
      <w:spacing w:before="160"/>
      <w:jc w:val="center"/>
    </w:pPr>
    <w:rPr>
      <w:i/>
      <w:iCs/>
      <w:color w:val="404040" w:themeColor="text1" w:themeTint="BF"/>
    </w:rPr>
  </w:style>
  <w:style w:type="character" w:customStyle="1" w:styleId="QuoteChar">
    <w:name w:val="Quote Char"/>
    <w:basedOn w:val="DefaultParagraphFont"/>
    <w:link w:val="Quote"/>
    <w:uiPriority w:val="29"/>
    <w:rsid w:val="009E7C61"/>
    <w:rPr>
      <w:i/>
      <w:iCs/>
      <w:color w:val="404040" w:themeColor="text1" w:themeTint="BF"/>
    </w:rPr>
  </w:style>
  <w:style w:type="paragraph" w:styleId="ListParagraph">
    <w:name w:val="List Paragraph"/>
    <w:basedOn w:val="Normal"/>
    <w:uiPriority w:val="34"/>
    <w:qFormat/>
    <w:rsid w:val="009E7C61"/>
    <w:pPr>
      <w:ind w:left="720"/>
      <w:contextualSpacing/>
    </w:pPr>
  </w:style>
  <w:style w:type="character" w:styleId="IntenseEmphasis">
    <w:name w:val="Intense Emphasis"/>
    <w:basedOn w:val="DefaultParagraphFont"/>
    <w:uiPriority w:val="21"/>
    <w:qFormat/>
    <w:rsid w:val="009E7C61"/>
    <w:rPr>
      <w:i/>
      <w:iCs/>
      <w:color w:val="2F5496" w:themeColor="accent1" w:themeShade="BF"/>
    </w:rPr>
  </w:style>
  <w:style w:type="paragraph" w:styleId="IntenseQuote">
    <w:name w:val="Intense Quote"/>
    <w:basedOn w:val="Normal"/>
    <w:next w:val="Normal"/>
    <w:link w:val="IntenseQuoteChar"/>
    <w:uiPriority w:val="30"/>
    <w:qFormat/>
    <w:rsid w:val="009E7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C61"/>
    <w:rPr>
      <w:i/>
      <w:iCs/>
      <w:color w:val="2F5496" w:themeColor="accent1" w:themeShade="BF"/>
    </w:rPr>
  </w:style>
  <w:style w:type="character" w:styleId="IntenseReference">
    <w:name w:val="Intense Reference"/>
    <w:basedOn w:val="DefaultParagraphFont"/>
    <w:uiPriority w:val="32"/>
    <w:qFormat/>
    <w:rsid w:val="009E7C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vaarunee k</dc:creator>
  <cp:keywords/>
  <dc:description/>
  <cp:lastModifiedBy>vaarunee k</cp:lastModifiedBy>
  <cp:revision>2</cp:revision>
  <dcterms:created xsi:type="dcterms:W3CDTF">2026-02-24T04:02:00Z</dcterms:created>
  <dcterms:modified xsi:type="dcterms:W3CDTF">2026-02-24T04:02:00Z</dcterms:modified>
</cp:coreProperties>
</file>