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3A1" w:rsidRPr="004633A1" w:rsidRDefault="004633A1" w:rsidP="004633A1">
      <w:pPr>
        <w:jc w:val="both"/>
        <w:rPr>
          <w:rFonts w:ascii="Times New Roman" w:hAnsi="Times New Roman" w:cs="Times New Roman"/>
          <w:bCs/>
          <w:i/>
          <w:sz w:val="24"/>
          <w:szCs w:val="24"/>
        </w:rPr>
      </w:pPr>
      <w:r w:rsidRPr="004633A1">
        <w:rPr>
          <w:rFonts w:ascii="Times New Roman" w:hAnsi="Times New Roman" w:cs="Times New Roman"/>
          <w:bCs/>
          <w:i/>
          <w:sz w:val="24"/>
          <w:szCs w:val="24"/>
        </w:rPr>
        <w:t>Original research paper</w:t>
      </w:r>
    </w:p>
    <w:p w:rsidR="004633A1" w:rsidRPr="004633A1" w:rsidRDefault="004633A1" w:rsidP="004633A1">
      <w:pPr>
        <w:jc w:val="both"/>
        <w:rPr>
          <w:rFonts w:ascii="Times New Roman" w:hAnsi="Times New Roman" w:cs="Times New Roman"/>
          <w:b/>
          <w:bCs/>
          <w:sz w:val="36"/>
          <w:szCs w:val="36"/>
        </w:rPr>
      </w:pPr>
      <w:r w:rsidRPr="004633A1">
        <w:rPr>
          <w:rFonts w:ascii="Times New Roman" w:hAnsi="Times New Roman" w:cs="Times New Roman"/>
          <w:b/>
          <w:bCs/>
          <w:sz w:val="36"/>
          <w:szCs w:val="36"/>
        </w:rPr>
        <w:t xml:space="preserve">Predictors of In-Hospital Mortality in Geriatric Patients with Traumatic </w:t>
      </w:r>
      <w:proofErr w:type="spellStart"/>
      <w:r w:rsidRPr="004633A1">
        <w:rPr>
          <w:rFonts w:ascii="Times New Roman" w:hAnsi="Times New Roman" w:cs="Times New Roman"/>
          <w:b/>
          <w:bCs/>
          <w:sz w:val="36"/>
          <w:szCs w:val="36"/>
        </w:rPr>
        <w:t>Intraventricular</w:t>
      </w:r>
      <w:proofErr w:type="spellEnd"/>
      <w:r w:rsidRPr="004633A1">
        <w:rPr>
          <w:rFonts w:ascii="Times New Roman" w:hAnsi="Times New Roman" w:cs="Times New Roman"/>
          <w:b/>
          <w:bCs/>
          <w:sz w:val="36"/>
          <w:szCs w:val="36"/>
        </w:rPr>
        <w:t xml:space="preserve"> Hemorrhage: A Three-Year Retrospective Cohort Study</w:t>
      </w:r>
    </w:p>
    <w:p w:rsidR="004633A1" w:rsidRPr="004633A1" w:rsidRDefault="004633A1" w:rsidP="004633A1">
      <w:pPr>
        <w:jc w:val="both"/>
        <w:rPr>
          <w:rFonts w:ascii="Times New Roman" w:hAnsi="Times New Roman" w:cs="Times New Roman"/>
          <w:bCs/>
          <w:i/>
          <w:sz w:val="24"/>
          <w:szCs w:val="24"/>
        </w:rPr>
      </w:pPr>
      <w:r w:rsidRPr="004633A1">
        <w:rPr>
          <w:rFonts w:ascii="Times New Roman" w:hAnsi="Times New Roman" w:cs="Times New Roman"/>
          <w:bCs/>
          <w:i/>
          <w:sz w:val="24"/>
          <w:szCs w:val="24"/>
        </w:rPr>
        <w:t>Running Title: Mortality Predictors in Geriatric Traumatic IVH</w:t>
      </w:r>
    </w:p>
    <w:p w:rsidR="004633A1" w:rsidRDefault="004633A1" w:rsidP="004633A1">
      <w:pPr>
        <w:jc w:val="both"/>
        <w:rPr>
          <w:rFonts w:ascii="Times New Roman" w:hAnsi="Times New Roman" w:cs="Times New Roman"/>
          <w:bCs/>
          <w:sz w:val="24"/>
          <w:szCs w:val="24"/>
        </w:rPr>
      </w:pPr>
    </w:p>
    <w:p w:rsidR="004633A1" w:rsidRPr="008170D1" w:rsidRDefault="004633A1" w:rsidP="004633A1">
      <w:pPr>
        <w:jc w:val="both"/>
        <w:rPr>
          <w:rFonts w:ascii="Times New Roman" w:hAnsi="Times New Roman" w:cs="Times New Roman"/>
          <w:b/>
          <w:bCs/>
          <w:sz w:val="24"/>
          <w:szCs w:val="24"/>
        </w:rPr>
      </w:pPr>
      <w:r w:rsidRPr="008170D1">
        <w:rPr>
          <w:rFonts w:ascii="Times New Roman" w:hAnsi="Times New Roman" w:cs="Times New Roman"/>
          <w:b/>
          <w:bCs/>
          <w:sz w:val="24"/>
          <w:szCs w:val="24"/>
        </w:rPr>
        <w:t>Abstract</w:t>
      </w:r>
    </w:p>
    <w:p w:rsidR="004633A1" w:rsidRPr="008170D1" w:rsidRDefault="004633A1" w:rsidP="004633A1">
      <w:pPr>
        <w:jc w:val="both"/>
        <w:rPr>
          <w:rFonts w:ascii="Times New Roman" w:hAnsi="Times New Roman" w:cs="Times New Roman"/>
          <w:b/>
          <w:bCs/>
          <w:sz w:val="24"/>
          <w:szCs w:val="24"/>
        </w:rPr>
      </w:pPr>
      <w:r w:rsidRPr="008170D1">
        <w:rPr>
          <w:rFonts w:ascii="Times New Roman" w:hAnsi="Times New Roman" w:cs="Times New Roman"/>
          <w:b/>
          <w:bCs/>
          <w:sz w:val="24"/>
          <w:szCs w:val="24"/>
        </w:rPr>
        <w:t>Background</w:t>
      </w:r>
    </w:p>
    <w:p w:rsidR="004633A1" w:rsidRPr="004633A1" w:rsidRDefault="004633A1" w:rsidP="004633A1">
      <w:pPr>
        <w:jc w:val="both"/>
        <w:rPr>
          <w:rFonts w:ascii="Times New Roman" w:hAnsi="Times New Roman" w:cs="Times New Roman"/>
          <w:bCs/>
          <w:sz w:val="24"/>
          <w:szCs w:val="24"/>
        </w:rPr>
      </w:pPr>
      <w:r w:rsidRPr="004633A1">
        <w:rPr>
          <w:rFonts w:ascii="Times New Roman" w:hAnsi="Times New Roman" w:cs="Times New Roman"/>
          <w:bCs/>
          <w:sz w:val="24"/>
          <w:szCs w:val="24"/>
        </w:rPr>
        <w:t xml:space="preserve">Traumatic </w:t>
      </w:r>
      <w:proofErr w:type="spellStart"/>
      <w:r w:rsidRPr="004633A1">
        <w:rPr>
          <w:rFonts w:ascii="Times New Roman" w:hAnsi="Times New Roman" w:cs="Times New Roman"/>
          <w:bCs/>
          <w:sz w:val="24"/>
          <w:szCs w:val="24"/>
        </w:rPr>
        <w:t>intraventricular</w:t>
      </w:r>
      <w:proofErr w:type="spellEnd"/>
      <w:r w:rsidRPr="004633A1">
        <w:rPr>
          <w:rFonts w:ascii="Times New Roman" w:hAnsi="Times New Roman" w:cs="Times New Roman"/>
          <w:bCs/>
          <w:sz w:val="24"/>
          <w:szCs w:val="24"/>
        </w:rPr>
        <w:t xml:space="preserve"> hemorrhage (</w:t>
      </w:r>
      <w:proofErr w:type="spellStart"/>
      <w:r w:rsidRPr="004633A1">
        <w:rPr>
          <w:rFonts w:ascii="Times New Roman" w:hAnsi="Times New Roman" w:cs="Times New Roman"/>
          <w:bCs/>
          <w:sz w:val="24"/>
          <w:szCs w:val="24"/>
        </w:rPr>
        <w:t>tIVH</w:t>
      </w:r>
      <w:proofErr w:type="spellEnd"/>
      <w:r w:rsidRPr="004633A1">
        <w:rPr>
          <w:rFonts w:ascii="Times New Roman" w:hAnsi="Times New Roman" w:cs="Times New Roman"/>
          <w:bCs/>
          <w:sz w:val="24"/>
          <w:szCs w:val="24"/>
        </w:rPr>
        <w:t>) is an uncommon but severe manifestation of traumatic brain injury and is frequently associated with poor clinical outcomes. Evidence regarding prognostic factors in the geriatric population remains limited.</w:t>
      </w:r>
      <w:r w:rsidR="008170D1">
        <w:rPr>
          <w:rFonts w:ascii="Times New Roman" w:hAnsi="Times New Roman" w:cs="Times New Roman"/>
          <w:bCs/>
          <w:sz w:val="24"/>
          <w:szCs w:val="24"/>
        </w:rPr>
        <w:t xml:space="preserve"> </w:t>
      </w:r>
      <w:proofErr w:type="gramStart"/>
      <w:r w:rsidR="005C17C4">
        <w:rPr>
          <w:rFonts w:ascii="Times New Roman" w:hAnsi="Times New Roman" w:cs="Times New Roman"/>
          <w:bCs/>
          <w:sz w:val="24"/>
          <w:szCs w:val="24"/>
        </w:rPr>
        <w:t xml:space="preserve">This study </w:t>
      </w:r>
      <w:r w:rsidRPr="004633A1">
        <w:rPr>
          <w:rFonts w:ascii="Times New Roman" w:hAnsi="Times New Roman" w:cs="Times New Roman"/>
          <w:bCs/>
          <w:sz w:val="24"/>
          <w:szCs w:val="24"/>
        </w:rPr>
        <w:t>evaluate</w:t>
      </w:r>
      <w:r w:rsidR="005C17C4">
        <w:rPr>
          <w:rFonts w:ascii="Times New Roman" w:hAnsi="Times New Roman" w:cs="Times New Roman"/>
          <w:bCs/>
          <w:sz w:val="24"/>
          <w:szCs w:val="24"/>
        </w:rPr>
        <w:t>s</w:t>
      </w:r>
      <w:r w:rsidRPr="004633A1">
        <w:rPr>
          <w:rFonts w:ascii="Times New Roman" w:hAnsi="Times New Roman" w:cs="Times New Roman"/>
          <w:bCs/>
          <w:sz w:val="24"/>
          <w:szCs w:val="24"/>
        </w:rPr>
        <w:t xml:space="preserve"> the demographic, clinical, and radiological characteristics of geriatric patients with traumatic </w:t>
      </w:r>
      <w:proofErr w:type="spellStart"/>
      <w:r w:rsidRPr="004633A1">
        <w:rPr>
          <w:rFonts w:ascii="Times New Roman" w:hAnsi="Times New Roman" w:cs="Times New Roman"/>
          <w:bCs/>
          <w:sz w:val="24"/>
          <w:szCs w:val="24"/>
        </w:rPr>
        <w:t>intraventricular</w:t>
      </w:r>
      <w:proofErr w:type="spellEnd"/>
      <w:r w:rsidRPr="004633A1">
        <w:rPr>
          <w:rFonts w:ascii="Times New Roman" w:hAnsi="Times New Roman" w:cs="Times New Roman"/>
          <w:bCs/>
          <w:sz w:val="24"/>
          <w:szCs w:val="24"/>
        </w:rPr>
        <w:t xml:space="preserve"> hemorrhage and identify</w:t>
      </w:r>
      <w:proofErr w:type="gramEnd"/>
      <w:r w:rsidRPr="004633A1">
        <w:rPr>
          <w:rFonts w:ascii="Times New Roman" w:hAnsi="Times New Roman" w:cs="Times New Roman"/>
          <w:bCs/>
          <w:sz w:val="24"/>
          <w:szCs w:val="24"/>
        </w:rPr>
        <w:t xml:space="preserve"> independent predictors of in-hospital mortality.</w:t>
      </w:r>
    </w:p>
    <w:p w:rsidR="004633A1" w:rsidRPr="005C17C4" w:rsidRDefault="004633A1" w:rsidP="004633A1">
      <w:pPr>
        <w:jc w:val="both"/>
        <w:rPr>
          <w:rFonts w:ascii="Times New Roman" w:hAnsi="Times New Roman" w:cs="Times New Roman"/>
          <w:b/>
          <w:bCs/>
          <w:sz w:val="24"/>
          <w:szCs w:val="24"/>
        </w:rPr>
      </w:pPr>
      <w:r w:rsidRPr="005C17C4">
        <w:rPr>
          <w:rFonts w:ascii="Times New Roman" w:hAnsi="Times New Roman" w:cs="Times New Roman"/>
          <w:b/>
          <w:bCs/>
          <w:sz w:val="24"/>
          <w:szCs w:val="24"/>
        </w:rPr>
        <w:t>Methods</w:t>
      </w:r>
    </w:p>
    <w:p w:rsidR="004633A1" w:rsidRPr="004633A1" w:rsidRDefault="004633A1" w:rsidP="004633A1">
      <w:pPr>
        <w:jc w:val="both"/>
        <w:rPr>
          <w:rFonts w:ascii="Times New Roman" w:hAnsi="Times New Roman" w:cs="Times New Roman"/>
          <w:bCs/>
          <w:sz w:val="24"/>
          <w:szCs w:val="24"/>
        </w:rPr>
      </w:pPr>
      <w:r w:rsidRPr="004633A1">
        <w:rPr>
          <w:rFonts w:ascii="Times New Roman" w:hAnsi="Times New Roman" w:cs="Times New Roman"/>
          <w:bCs/>
          <w:sz w:val="24"/>
          <w:szCs w:val="24"/>
        </w:rPr>
        <w:t xml:space="preserve">A retrospective observational study was conducted at a tertiary care neurosurgical center over a three-year period. Patients aged ≥60 years with computed tomography-confirmed traumatic </w:t>
      </w:r>
      <w:proofErr w:type="spellStart"/>
      <w:r w:rsidRPr="004633A1">
        <w:rPr>
          <w:rFonts w:ascii="Times New Roman" w:hAnsi="Times New Roman" w:cs="Times New Roman"/>
          <w:bCs/>
          <w:sz w:val="24"/>
          <w:szCs w:val="24"/>
        </w:rPr>
        <w:t>intraventricular</w:t>
      </w:r>
      <w:proofErr w:type="spellEnd"/>
      <w:r w:rsidRPr="004633A1">
        <w:rPr>
          <w:rFonts w:ascii="Times New Roman" w:hAnsi="Times New Roman" w:cs="Times New Roman"/>
          <w:bCs/>
          <w:sz w:val="24"/>
          <w:szCs w:val="24"/>
        </w:rPr>
        <w:t xml:space="preserve"> hemorrhage were included. Demographic, clinical, radiological, treatment, and outcome data were collected from hospital records. Continuous variables were compared using the Student's </w:t>
      </w:r>
      <w:r w:rsidRPr="004633A1">
        <w:rPr>
          <w:rFonts w:ascii="Times New Roman" w:hAnsi="Times New Roman" w:cs="Times New Roman"/>
          <w:bCs/>
          <w:i/>
          <w:iCs/>
          <w:sz w:val="24"/>
          <w:szCs w:val="24"/>
        </w:rPr>
        <w:t>t</w:t>
      </w:r>
      <w:r w:rsidRPr="004633A1">
        <w:rPr>
          <w:rFonts w:ascii="Times New Roman" w:hAnsi="Times New Roman" w:cs="Times New Roman"/>
          <w:bCs/>
          <w:sz w:val="24"/>
          <w:szCs w:val="24"/>
        </w:rPr>
        <w:t xml:space="preserve">-test or Mann–Whitney </w:t>
      </w:r>
      <w:r w:rsidRPr="004633A1">
        <w:rPr>
          <w:rFonts w:ascii="Times New Roman" w:hAnsi="Times New Roman" w:cs="Times New Roman"/>
          <w:bCs/>
          <w:i/>
          <w:iCs/>
          <w:sz w:val="24"/>
          <w:szCs w:val="24"/>
        </w:rPr>
        <w:t>U</w:t>
      </w:r>
      <w:r w:rsidRPr="004633A1">
        <w:rPr>
          <w:rFonts w:ascii="Times New Roman" w:hAnsi="Times New Roman" w:cs="Times New Roman"/>
          <w:bCs/>
          <w:sz w:val="24"/>
          <w:szCs w:val="24"/>
        </w:rPr>
        <w:t xml:space="preserve"> test, while categorical variables were analyzed using the Chi-square or Fisher's exact test. Variables significant on </w:t>
      </w:r>
      <w:proofErr w:type="spellStart"/>
      <w:r w:rsidRPr="004633A1">
        <w:rPr>
          <w:rFonts w:ascii="Times New Roman" w:hAnsi="Times New Roman" w:cs="Times New Roman"/>
          <w:bCs/>
          <w:sz w:val="24"/>
          <w:szCs w:val="24"/>
        </w:rPr>
        <w:t>univariate</w:t>
      </w:r>
      <w:proofErr w:type="spellEnd"/>
      <w:r w:rsidRPr="004633A1">
        <w:rPr>
          <w:rFonts w:ascii="Times New Roman" w:hAnsi="Times New Roman" w:cs="Times New Roman"/>
          <w:bCs/>
          <w:sz w:val="24"/>
          <w:szCs w:val="24"/>
        </w:rPr>
        <w:t xml:space="preserve"> analysis were entered into multivariable logistic regression to determine independent predictors of mortality.</w:t>
      </w:r>
    </w:p>
    <w:p w:rsidR="004633A1" w:rsidRPr="005C17C4" w:rsidRDefault="004633A1" w:rsidP="004633A1">
      <w:pPr>
        <w:jc w:val="both"/>
        <w:rPr>
          <w:rFonts w:ascii="Times New Roman" w:hAnsi="Times New Roman" w:cs="Times New Roman"/>
          <w:b/>
          <w:bCs/>
          <w:sz w:val="24"/>
          <w:szCs w:val="24"/>
        </w:rPr>
      </w:pPr>
      <w:r w:rsidRPr="005C17C4">
        <w:rPr>
          <w:rFonts w:ascii="Times New Roman" w:hAnsi="Times New Roman" w:cs="Times New Roman"/>
          <w:b/>
          <w:bCs/>
          <w:sz w:val="24"/>
          <w:szCs w:val="24"/>
        </w:rPr>
        <w:t>Results</w:t>
      </w:r>
    </w:p>
    <w:p w:rsidR="004633A1" w:rsidRPr="004633A1" w:rsidRDefault="004633A1" w:rsidP="004633A1">
      <w:pPr>
        <w:jc w:val="both"/>
        <w:rPr>
          <w:rFonts w:ascii="Times New Roman" w:hAnsi="Times New Roman" w:cs="Times New Roman"/>
          <w:bCs/>
          <w:sz w:val="24"/>
          <w:szCs w:val="24"/>
        </w:rPr>
      </w:pPr>
      <w:r w:rsidRPr="004633A1">
        <w:rPr>
          <w:rFonts w:ascii="Times New Roman" w:hAnsi="Times New Roman" w:cs="Times New Roman"/>
          <w:bCs/>
          <w:sz w:val="24"/>
          <w:szCs w:val="24"/>
        </w:rPr>
        <w:t xml:space="preserve">Ninety-three patients met the inclusion criteria. The overall in-hospital mortality was 75.3% (70/93). On </w:t>
      </w:r>
      <w:proofErr w:type="spellStart"/>
      <w:r w:rsidRPr="004633A1">
        <w:rPr>
          <w:rFonts w:ascii="Times New Roman" w:hAnsi="Times New Roman" w:cs="Times New Roman"/>
          <w:bCs/>
          <w:sz w:val="24"/>
          <w:szCs w:val="24"/>
        </w:rPr>
        <w:t>univariate</w:t>
      </w:r>
      <w:proofErr w:type="spellEnd"/>
      <w:r w:rsidRPr="004633A1">
        <w:rPr>
          <w:rFonts w:ascii="Times New Roman" w:hAnsi="Times New Roman" w:cs="Times New Roman"/>
          <w:bCs/>
          <w:sz w:val="24"/>
          <w:szCs w:val="24"/>
        </w:rPr>
        <w:t xml:space="preserve"> analysis, associated subarachnoid hemorrhage (OR 5.95, 95% CI 1.62–21.84; </w:t>
      </w:r>
      <w:r w:rsidRPr="004633A1">
        <w:rPr>
          <w:rFonts w:ascii="Times New Roman" w:hAnsi="Times New Roman" w:cs="Times New Roman"/>
          <w:bCs/>
          <w:i/>
          <w:iCs/>
          <w:sz w:val="24"/>
          <w:szCs w:val="24"/>
        </w:rPr>
        <w:t>P</w:t>
      </w:r>
      <w:r w:rsidRPr="004633A1">
        <w:rPr>
          <w:rFonts w:ascii="Times New Roman" w:hAnsi="Times New Roman" w:cs="Times New Roman"/>
          <w:bCs/>
          <w:sz w:val="24"/>
          <w:szCs w:val="24"/>
        </w:rPr>
        <w:t xml:space="preserve">=0.007), subdural hematoma (OR 12.22, 95% CI 1.55–96.17; </w:t>
      </w:r>
      <w:r w:rsidRPr="004633A1">
        <w:rPr>
          <w:rFonts w:ascii="Times New Roman" w:hAnsi="Times New Roman" w:cs="Times New Roman"/>
          <w:bCs/>
          <w:i/>
          <w:iCs/>
          <w:sz w:val="24"/>
          <w:szCs w:val="24"/>
        </w:rPr>
        <w:t>P</w:t>
      </w:r>
      <w:r w:rsidRPr="004633A1">
        <w:rPr>
          <w:rFonts w:ascii="Times New Roman" w:hAnsi="Times New Roman" w:cs="Times New Roman"/>
          <w:bCs/>
          <w:sz w:val="24"/>
          <w:szCs w:val="24"/>
        </w:rPr>
        <w:t xml:space="preserve">=0.017), brainstem contusion (OR 3.94, 95% CI 1.07–14.55; </w:t>
      </w:r>
      <w:r w:rsidRPr="004633A1">
        <w:rPr>
          <w:rFonts w:ascii="Times New Roman" w:hAnsi="Times New Roman" w:cs="Times New Roman"/>
          <w:bCs/>
          <w:i/>
          <w:iCs/>
          <w:sz w:val="24"/>
          <w:szCs w:val="24"/>
        </w:rPr>
        <w:t>P</w:t>
      </w:r>
      <w:r w:rsidRPr="004633A1">
        <w:rPr>
          <w:rFonts w:ascii="Times New Roman" w:hAnsi="Times New Roman" w:cs="Times New Roman"/>
          <w:bCs/>
          <w:sz w:val="24"/>
          <w:szCs w:val="24"/>
        </w:rPr>
        <w:t xml:space="preserve">=0.040), and cerebral infarction (OR 3.70, 95% CI 1.00–13.70; </w:t>
      </w:r>
      <w:r w:rsidRPr="004633A1">
        <w:rPr>
          <w:rFonts w:ascii="Times New Roman" w:hAnsi="Times New Roman" w:cs="Times New Roman"/>
          <w:bCs/>
          <w:i/>
          <w:iCs/>
          <w:sz w:val="24"/>
          <w:szCs w:val="24"/>
        </w:rPr>
        <w:t>P</w:t>
      </w:r>
      <w:r w:rsidRPr="004633A1">
        <w:rPr>
          <w:rFonts w:ascii="Times New Roman" w:hAnsi="Times New Roman" w:cs="Times New Roman"/>
          <w:bCs/>
          <w:sz w:val="24"/>
          <w:szCs w:val="24"/>
        </w:rPr>
        <w:t xml:space="preserve">=0.050) were significantly associated with mortality. Following multivariable adjustment, associated subarachnoid hemorrhage (adjusted OR 5.59, 95% CI 1.43–21.86; </w:t>
      </w:r>
      <w:r w:rsidRPr="004633A1">
        <w:rPr>
          <w:rFonts w:ascii="Times New Roman" w:hAnsi="Times New Roman" w:cs="Times New Roman"/>
          <w:bCs/>
          <w:i/>
          <w:iCs/>
          <w:sz w:val="24"/>
          <w:szCs w:val="24"/>
        </w:rPr>
        <w:t>P</w:t>
      </w:r>
      <w:r w:rsidRPr="004633A1">
        <w:rPr>
          <w:rFonts w:ascii="Times New Roman" w:hAnsi="Times New Roman" w:cs="Times New Roman"/>
          <w:bCs/>
          <w:sz w:val="24"/>
          <w:szCs w:val="24"/>
        </w:rPr>
        <w:t xml:space="preserve">=0.014) and concomitant subdural hematoma (adjusted OR 9.62, 95% CI 1.17–79.20; </w:t>
      </w:r>
      <w:r w:rsidRPr="004633A1">
        <w:rPr>
          <w:rFonts w:ascii="Times New Roman" w:hAnsi="Times New Roman" w:cs="Times New Roman"/>
          <w:bCs/>
          <w:i/>
          <w:iCs/>
          <w:sz w:val="24"/>
          <w:szCs w:val="24"/>
        </w:rPr>
        <w:t>P</w:t>
      </w:r>
      <w:r w:rsidRPr="004633A1">
        <w:rPr>
          <w:rFonts w:ascii="Times New Roman" w:hAnsi="Times New Roman" w:cs="Times New Roman"/>
          <w:bCs/>
          <w:sz w:val="24"/>
          <w:szCs w:val="24"/>
        </w:rPr>
        <w:t>=0.037) remained independent predictors of in-hospital mortality.</w:t>
      </w:r>
    </w:p>
    <w:p w:rsidR="004633A1" w:rsidRPr="005C17C4" w:rsidRDefault="004633A1" w:rsidP="004633A1">
      <w:pPr>
        <w:jc w:val="both"/>
        <w:rPr>
          <w:rFonts w:ascii="Times New Roman" w:hAnsi="Times New Roman" w:cs="Times New Roman"/>
          <w:b/>
          <w:bCs/>
          <w:sz w:val="24"/>
          <w:szCs w:val="24"/>
        </w:rPr>
      </w:pPr>
      <w:r w:rsidRPr="005C17C4">
        <w:rPr>
          <w:rFonts w:ascii="Times New Roman" w:hAnsi="Times New Roman" w:cs="Times New Roman"/>
          <w:b/>
          <w:bCs/>
          <w:sz w:val="24"/>
          <w:szCs w:val="24"/>
        </w:rPr>
        <w:t>Conclusion</w:t>
      </w:r>
    </w:p>
    <w:p w:rsidR="004633A1" w:rsidRPr="004633A1" w:rsidRDefault="004633A1" w:rsidP="004633A1">
      <w:pPr>
        <w:jc w:val="both"/>
        <w:rPr>
          <w:rFonts w:ascii="Times New Roman" w:hAnsi="Times New Roman" w:cs="Times New Roman"/>
          <w:bCs/>
          <w:sz w:val="24"/>
          <w:szCs w:val="24"/>
        </w:rPr>
      </w:pPr>
      <w:r w:rsidRPr="004633A1">
        <w:rPr>
          <w:rFonts w:ascii="Times New Roman" w:hAnsi="Times New Roman" w:cs="Times New Roman"/>
          <w:bCs/>
          <w:sz w:val="24"/>
          <w:szCs w:val="24"/>
        </w:rPr>
        <w:lastRenderedPageBreak/>
        <w:t xml:space="preserve">Geriatric traumatic </w:t>
      </w:r>
      <w:proofErr w:type="spellStart"/>
      <w:r w:rsidRPr="004633A1">
        <w:rPr>
          <w:rFonts w:ascii="Times New Roman" w:hAnsi="Times New Roman" w:cs="Times New Roman"/>
          <w:bCs/>
          <w:sz w:val="24"/>
          <w:szCs w:val="24"/>
        </w:rPr>
        <w:t>intraventricular</w:t>
      </w:r>
      <w:proofErr w:type="spellEnd"/>
      <w:r w:rsidRPr="004633A1">
        <w:rPr>
          <w:rFonts w:ascii="Times New Roman" w:hAnsi="Times New Roman" w:cs="Times New Roman"/>
          <w:bCs/>
          <w:sz w:val="24"/>
          <w:szCs w:val="24"/>
        </w:rPr>
        <w:t xml:space="preserve"> hemorrhage is associated with exceptionally high in-hospital mortality. Associated subarachnoid hemorrhage and concomitant subdural hematoma independently predict mortality and may serve as valuable radiological markers for early risk stratification and clinical decision-making in this vulnerable population.</w:t>
      </w:r>
    </w:p>
    <w:p w:rsidR="004633A1" w:rsidRPr="005C17C4" w:rsidRDefault="004633A1" w:rsidP="005C17C4">
      <w:pPr>
        <w:jc w:val="both"/>
        <w:rPr>
          <w:rFonts w:ascii="Times New Roman" w:hAnsi="Times New Roman" w:cs="Times New Roman"/>
          <w:bCs/>
          <w:i/>
          <w:sz w:val="24"/>
          <w:szCs w:val="24"/>
        </w:rPr>
      </w:pPr>
      <w:r w:rsidRPr="005C17C4">
        <w:rPr>
          <w:rFonts w:ascii="Times New Roman" w:hAnsi="Times New Roman" w:cs="Times New Roman"/>
          <w:bCs/>
          <w:i/>
          <w:sz w:val="24"/>
          <w:szCs w:val="24"/>
        </w:rPr>
        <w:t>Keywords</w:t>
      </w:r>
      <w:r w:rsidR="005C17C4" w:rsidRPr="005C17C4">
        <w:rPr>
          <w:rFonts w:ascii="Times New Roman" w:hAnsi="Times New Roman" w:cs="Times New Roman"/>
          <w:bCs/>
          <w:i/>
          <w:sz w:val="24"/>
          <w:szCs w:val="24"/>
        </w:rPr>
        <w:t xml:space="preserve">: </w:t>
      </w:r>
      <w:r w:rsidRPr="005C17C4">
        <w:rPr>
          <w:rFonts w:ascii="Times New Roman" w:hAnsi="Times New Roman" w:cs="Times New Roman"/>
          <w:bCs/>
          <w:i/>
          <w:sz w:val="24"/>
          <w:szCs w:val="24"/>
        </w:rPr>
        <w:t>Traumatic brain injury</w:t>
      </w:r>
      <w:r w:rsidR="005C17C4" w:rsidRPr="005C17C4">
        <w:rPr>
          <w:rFonts w:ascii="Times New Roman" w:hAnsi="Times New Roman" w:cs="Times New Roman"/>
          <w:bCs/>
          <w:i/>
          <w:sz w:val="24"/>
          <w:szCs w:val="24"/>
        </w:rPr>
        <w:t xml:space="preserve">, </w:t>
      </w:r>
      <w:proofErr w:type="spellStart"/>
      <w:r w:rsidRPr="005C17C4">
        <w:rPr>
          <w:rFonts w:ascii="Times New Roman" w:hAnsi="Times New Roman" w:cs="Times New Roman"/>
          <w:bCs/>
          <w:i/>
          <w:sz w:val="24"/>
          <w:szCs w:val="24"/>
        </w:rPr>
        <w:t>Intraventricular</w:t>
      </w:r>
      <w:proofErr w:type="spellEnd"/>
      <w:r w:rsidRPr="005C17C4">
        <w:rPr>
          <w:rFonts w:ascii="Times New Roman" w:hAnsi="Times New Roman" w:cs="Times New Roman"/>
          <w:bCs/>
          <w:i/>
          <w:sz w:val="24"/>
          <w:szCs w:val="24"/>
        </w:rPr>
        <w:t xml:space="preserve"> hemorrhage</w:t>
      </w:r>
      <w:r w:rsidR="005C17C4" w:rsidRPr="005C17C4">
        <w:rPr>
          <w:rFonts w:ascii="Times New Roman" w:hAnsi="Times New Roman" w:cs="Times New Roman"/>
          <w:bCs/>
          <w:i/>
          <w:sz w:val="24"/>
          <w:szCs w:val="24"/>
        </w:rPr>
        <w:t xml:space="preserve">, </w:t>
      </w:r>
      <w:r w:rsidRPr="005C17C4">
        <w:rPr>
          <w:rFonts w:ascii="Times New Roman" w:hAnsi="Times New Roman" w:cs="Times New Roman"/>
          <w:bCs/>
          <w:i/>
          <w:sz w:val="24"/>
          <w:szCs w:val="24"/>
        </w:rPr>
        <w:t>Geriatrics</w:t>
      </w:r>
      <w:r w:rsidR="005C17C4" w:rsidRPr="005C17C4">
        <w:rPr>
          <w:rFonts w:ascii="Times New Roman" w:hAnsi="Times New Roman" w:cs="Times New Roman"/>
          <w:bCs/>
          <w:i/>
          <w:sz w:val="24"/>
          <w:szCs w:val="24"/>
        </w:rPr>
        <w:t xml:space="preserve">, </w:t>
      </w:r>
      <w:r w:rsidRPr="005C17C4">
        <w:rPr>
          <w:rFonts w:ascii="Times New Roman" w:hAnsi="Times New Roman" w:cs="Times New Roman"/>
          <w:bCs/>
          <w:i/>
          <w:sz w:val="24"/>
          <w:szCs w:val="24"/>
        </w:rPr>
        <w:t>Subarachnoid hemorrhage</w:t>
      </w:r>
      <w:r w:rsidR="005C17C4" w:rsidRPr="005C17C4">
        <w:rPr>
          <w:rFonts w:ascii="Times New Roman" w:hAnsi="Times New Roman" w:cs="Times New Roman"/>
          <w:bCs/>
          <w:i/>
          <w:sz w:val="24"/>
          <w:szCs w:val="24"/>
        </w:rPr>
        <w:t xml:space="preserve">, </w:t>
      </w:r>
      <w:proofErr w:type="gramStart"/>
      <w:r w:rsidRPr="005C17C4">
        <w:rPr>
          <w:rFonts w:ascii="Times New Roman" w:hAnsi="Times New Roman" w:cs="Times New Roman"/>
          <w:bCs/>
          <w:i/>
          <w:sz w:val="24"/>
          <w:szCs w:val="24"/>
        </w:rPr>
        <w:t>Subdural</w:t>
      </w:r>
      <w:proofErr w:type="gramEnd"/>
      <w:r w:rsidRPr="005C17C4">
        <w:rPr>
          <w:rFonts w:ascii="Times New Roman" w:hAnsi="Times New Roman" w:cs="Times New Roman"/>
          <w:bCs/>
          <w:i/>
          <w:sz w:val="24"/>
          <w:szCs w:val="24"/>
        </w:rPr>
        <w:t xml:space="preserve"> hematoma</w:t>
      </w:r>
    </w:p>
    <w:p w:rsidR="004633A1" w:rsidRPr="004633A1" w:rsidRDefault="004633A1" w:rsidP="004633A1">
      <w:pPr>
        <w:jc w:val="both"/>
        <w:rPr>
          <w:rFonts w:ascii="Times New Roman" w:hAnsi="Times New Roman" w:cs="Times New Roman"/>
          <w:bCs/>
          <w:sz w:val="24"/>
          <w:szCs w:val="24"/>
        </w:rPr>
      </w:pPr>
    </w:p>
    <w:p w:rsidR="004633A1" w:rsidRPr="00504611" w:rsidRDefault="004633A1" w:rsidP="004633A1">
      <w:pPr>
        <w:jc w:val="both"/>
        <w:rPr>
          <w:rFonts w:ascii="Times New Roman" w:hAnsi="Times New Roman" w:cs="Times New Roman"/>
          <w:b/>
          <w:bCs/>
          <w:sz w:val="24"/>
          <w:szCs w:val="24"/>
        </w:rPr>
      </w:pPr>
      <w:r w:rsidRPr="00504611">
        <w:rPr>
          <w:rFonts w:ascii="Times New Roman" w:hAnsi="Times New Roman" w:cs="Times New Roman"/>
          <w:b/>
          <w:bCs/>
          <w:sz w:val="24"/>
          <w:szCs w:val="24"/>
        </w:rPr>
        <w:t>Introduction</w:t>
      </w:r>
    </w:p>
    <w:p w:rsidR="004633A1" w:rsidRPr="004633A1" w:rsidRDefault="004633A1" w:rsidP="004633A1">
      <w:pPr>
        <w:jc w:val="both"/>
        <w:rPr>
          <w:rFonts w:ascii="Times New Roman" w:hAnsi="Times New Roman" w:cs="Times New Roman"/>
          <w:bCs/>
          <w:sz w:val="24"/>
          <w:szCs w:val="24"/>
        </w:rPr>
      </w:pPr>
      <w:r w:rsidRPr="004633A1">
        <w:rPr>
          <w:rFonts w:ascii="Times New Roman" w:hAnsi="Times New Roman" w:cs="Times New Roman"/>
          <w:bCs/>
          <w:sz w:val="24"/>
          <w:szCs w:val="24"/>
        </w:rPr>
        <w:t xml:space="preserve">Traumatic brain injury (TBI) remains a major cause of mortality and long-term disability worldwide, accounting for a substantial proportion of trauma-related deaths and disability-adjusted life years. The burden of TBI is particularly pronounced among older adults, in whom increasing life expectancy, a higher prevalence of falls and road traffic accidents, widespread use of antithrombotic medications, and multiple medical </w:t>
      </w:r>
      <w:proofErr w:type="spellStart"/>
      <w:r w:rsidRPr="004633A1">
        <w:rPr>
          <w:rFonts w:ascii="Times New Roman" w:hAnsi="Times New Roman" w:cs="Times New Roman"/>
          <w:bCs/>
          <w:sz w:val="24"/>
          <w:szCs w:val="24"/>
        </w:rPr>
        <w:t>comorbidities</w:t>
      </w:r>
      <w:proofErr w:type="spellEnd"/>
      <w:r w:rsidRPr="004633A1">
        <w:rPr>
          <w:rFonts w:ascii="Times New Roman" w:hAnsi="Times New Roman" w:cs="Times New Roman"/>
          <w:bCs/>
          <w:sz w:val="24"/>
          <w:szCs w:val="24"/>
        </w:rPr>
        <w:t xml:space="preserve"> have contributed to a steady rise in geriatric </w:t>
      </w:r>
      <w:r w:rsidRPr="00504611">
        <w:rPr>
          <w:rFonts w:ascii="Times New Roman" w:hAnsi="Times New Roman" w:cs="Times New Roman"/>
          <w:bCs/>
          <w:sz w:val="24"/>
          <w:szCs w:val="24"/>
        </w:rPr>
        <w:t>neurotrauma.</w:t>
      </w:r>
      <w:r w:rsidR="00504611" w:rsidRPr="00504611">
        <w:rPr>
          <w:rFonts w:ascii="Times New Roman" w:hAnsi="Times New Roman" w:cs="Times New Roman"/>
          <w:bCs/>
          <w:sz w:val="24"/>
          <w:szCs w:val="24"/>
          <w:highlight w:val="green"/>
          <w:vertAlign w:val="superscript"/>
        </w:rPr>
        <w:t>1,2</w:t>
      </w:r>
      <w:r w:rsidRPr="004633A1">
        <w:rPr>
          <w:rFonts w:ascii="Times New Roman" w:hAnsi="Times New Roman" w:cs="Times New Roman"/>
          <w:bCs/>
          <w:sz w:val="24"/>
          <w:szCs w:val="24"/>
        </w:rPr>
        <w:t xml:space="preserve"> Elderly patients exhibit reduced physiological reserve, cerebral atrophy, impaired </w:t>
      </w:r>
      <w:proofErr w:type="spellStart"/>
      <w:r w:rsidRPr="004633A1">
        <w:rPr>
          <w:rFonts w:ascii="Times New Roman" w:hAnsi="Times New Roman" w:cs="Times New Roman"/>
          <w:bCs/>
          <w:sz w:val="24"/>
          <w:szCs w:val="24"/>
        </w:rPr>
        <w:t>autoregulation</w:t>
      </w:r>
      <w:proofErr w:type="spellEnd"/>
      <w:r w:rsidRPr="004633A1">
        <w:rPr>
          <w:rFonts w:ascii="Times New Roman" w:hAnsi="Times New Roman" w:cs="Times New Roman"/>
          <w:bCs/>
          <w:sz w:val="24"/>
          <w:szCs w:val="24"/>
        </w:rPr>
        <w:t xml:space="preserve">, and diminished capacity to tolerate secondary brain injury, resulting in poorer neurological outcomes compared with younger </w:t>
      </w:r>
      <w:r w:rsidRPr="00504611">
        <w:rPr>
          <w:rFonts w:ascii="Times New Roman" w:hAnsi="Times New Roman" w:cs="Times New Roman"/>
          <w:bCs/>
          <w:sz w:val="24"/>
          <w:szCs w:val="24"/>
        </w:rPr>
        <w:t>individuals.¹⁻³</w:t>
      </w:r>
    </w:p>
    <w:p w:rsidR="004633A1" w:rsidRPr="004633A1" w:rsidRDefault="004633A1" w:rsidP="004633A1">
      <w:pPr>
        <w:jc w:val="both"/>
        <w:rPr>
          <w:rFonts w:ascii="Times New Roman" w:hAnsi="Times New Roman" w:cs="Times New Roman"/>
          <w:bCs/>
          <w:sz w:val="24"/>
          <w:szCs w:val="24"/>
        </w:rPr>
      </w:pPr>
      <w:r w:rsidRPr="004633A1">
        <w:rPr>
          <w:rFonts w:ascii="Times New Roman" w:hAnsi="Times New Roman" w:cs="Times New Roman"/>
          <w:bCs/>
          <w:sz w:val="24"/>
          <w:szCs w:val="24"/>
        </w:rPr>
        <w:t xml:space="preserve">Traumatic </w:t>
      </w:r>
      <w:proofErr w:type="spellStart"/>
      <w:r w:rsidRPr="004633A1">
        <w:rPr>
          <w:rFonts w:ascii="Times New Roman" w:hAnsi="Times New Roman" w:cs="Times New Roman"/>
          <w:bCs/>
          <w:sz w:val="24"/>
          <w:szCs w:val="24"/>
        </w:rPr>
        <w:t>intraventricular</w:t>
      </w:r>
      <w:proofErr w:type="spellEnd"/>
      <w:r w:rsidRPr="004633A1">
        <w:rPr>
          <w:rFonts w:ascii="Times New Roman" w:hAnsi="Times New Roman" w:cs="Times New Roman"/>
          <w:bCs/>
          <w:sz w:val="24"/>
          <w:szCs w:val="24"/>
        </w:rPr>
        <w:t xml:space="preserve"> hemorrhage (</w:t>
      </w:r>
      <w:proofErr w:type="spellStart"/>
      <w:r w:rsidRPr="004633A1">
        <w:rPr>
          <w:rFonts w:ascii="Times New Roman" w:hAnsi="Times New Roman" w:cs="Times New Roman"/>
          <w:bCs/>
          <w:sz w:val="24"/>
          <w:szCs w:val="24"/>
        </w:rPr>
        <w:t>tIVH</w:t>
      </w:r>
      <w:proofErr w:type="spellEnd"/>
      <w:r w:rsidRPr="004633A1">
        <w:rPr>
          <w:rFonts w:ascii="Times New Roman" w:hAnsi="Times New Roman" w:cs="Times New Roman"/>
          <w:bCs/>
          <w:sz w:val="24"/>
          <w:szCs w:val="24"/>
        </w:rPr>
        <w:t xml:space="preserve">) is an uncommon but clinically significant manifestation of severe head injury. It commonly occurs in association with diffuse axonal injury, deep </w:t>
      </w:r>
      <w:proofErr w:type="spellStart"/>
      <w:r w:rsidRPr="004633A1">
        <w:rPr>
          <w:rFonts w:ascii="Times New Roman" w:hAnsi="Times New Roman" w:cs="Times New Roman"/>
          <w:bCs/>
          <w:sz w:val="24"/>
          <w:szCs w:val="24"/>
        </w:rPr>
        <w:t>parenchymal</w:t>
      </w:r>
      <w:proofErr w:type="spellEnd"/>
      <w:r w:rsidRPr="004633A1">
        <w:rPr>
          <w:rFonts w:ascii="Times New Roman" w:hAnsi="Times New Roman" w:cs="Times New Roman"/>
          <w:bCs/>
          <w:sz w:val="24"/>
          <w:szCs w:val="24"/>
        </w:rPr>
        <w:t xml:space="preserve"> contusions, subarachnoid hemorrhage, brainstem injury, and other high-energy traumatic lesions. The presence of blood within the ventricular system can obstruct cerebrospinal fluid pathways, precipitate acute hydrocephalus, increase intracranial pressure, and trigger secondary inflammatory and ischemic cascades, thereby worsening neurological recovery. Several studies have demonstrated that </w:t>
      </w:r>
      <w:proofErr w:type="spellStart"/>
      <w:r w:rsidRPr="004633A1">
        <w:rPr>
          <w:rFonts w:ascii="Times New Roman" w:hAnsi="Times New Roman" w:cs="Times New Roman"/>
          <w:bCs/>
          <w:sz w:val="24"/>
          <w:szCs w:val="24"/>
        </w:rPr>
        <w:t>tIVH</w:t>
      </w:r>
      <w:proofErr w:type="spellEnd"/>
      <w:r w:rsidRPr="004633A1">
        <w:rPr>
          <w:rFonts w:ascii="Times New Roman" w:hAnsi="Times New Roman" w:cs="Times New Roman"/>
          <w:bCs/>
          <w:sz w:val="24"/>
          <w:szCs w:val="24"/>
        </w:rPr>
        <w:t xml:space="preserve"> is associated with increased mortality and unfavorable functional outcomes; however, it remains uncertain whether </w:t>
      </w:r>
      <w:proofErr w:type="spellStart"/>
      <w:r w:rsidRPr="004633A1">
        <w:rPr>
          <w:rFonts w:ascii="Times New Roman" w:hAnsi="Times New Roman" w:cs="Times New Roman"/>
          <w:bCs/>
          <w:sz w:val="24"/>
          <w:szCs w:val="24"/>
        </w:rPr>
        <w:t>intraventricular</w:t>
      </w:r>
      <w:proofErr w:type="spellEnd"/>
      <w:r w:rsidRPr="004633A1">
        <w:rPr>
          <w:rFonts w:ascii="Times New Roman" w:hAnsi="Times New Roman" w:cs="Times New Roman"/>
          <w:bCs/>
          <w:sz w:val="24"/>
          <w:szCs w:val="24"/>
        </w:rPr>
        <w:t xml:space="preserve"> hemorrhage itself independently influences prognosis or merely serves as a surrogate marker for severe underlying brain </w:t>
      </w:r>
      <w:r w:rsidRPr="00504611">
        <w:rPr>
          <w:rFonts w:ascii="Times New Roman" w:hAnsi="Times New Roman" w:cs="Times New Roman"/>
          <w:bCs/>
          <w:sz w:val="24"/>
          <w:szCs w:val="24"/>
        </w:rPr>
        <w:t>injury.⁴⁻⁸</w:t>
      </w:r>
    </w:p>
    <w:p w:rsidR="004633A1" w:rsidRPr="004633A1" w:rsidRDefault="004633A1" w:rsidP="004633A1">
      <w:pPr>
        <w:jc w:val="both"/>
        <w:rPr>
          <w:rFonts w:ascii="Times New Roman" w:hAnsi="Times New Roman" w:cs="Times New Roman"/>
          <w:bCs/>
          <w:sz w:val="24"/>
          <w:szCs w:val="24"/>
        </w:rPr>
      </w:pPr>
      <w:r w:rsidRPr="004633A1">
        <w:rPr>
          <w:rFonts w:ascii="Times New Roman" w:hAnsi="Times New Roman" w:cs="Times New Roman"/>
          <w:bCs/>
          <w:sz w:val="24"/>
          <w:szCs w:val="24"/>
        </w:rPr>
        <w:t xml:space="preserve">Although several studies have investigated traumatic IVH in the general adult population, data specifically evaluating geriatric patients remain scarce, particularly from low- and middle-income countries. Furthermore, the predictors of mortality in elderly patients with traumatic IVH have not been adequately characterized. Identification of these predictors is essential for early risk stratification, clinical decision-making, prognostic counseling, and optimal utilization of critical care resources. Therefore, the present study aimed to evaluate the demographic, clinical, and radiological characteristics of geriatric patients with traumatic </w:t>
      </w:r>
      <w:proofErr w:type="spellStart"/>
      <w:r w:rsidRPr="004633A1">
        <w:rPr>
          <w:rFonts w:ascii="Times New Roman" w:hAnsi="Times New Roman" w:cs="Times New Roman"/>
          <w:bCs/>
          <w:sz w:val="24"/>
          <w:szCs w:val="24"/>
        </w:rPr>
        <w:t>intraventricular</w:t>
      </w:r>
      <w:proofErr w:type="spellEnd"/>
      <w:r w:rsidRPr="004633A1">
        <w:rPr>
          <w:rFonts w:ascii="Times New Roman" w:hAnsi="Times New Roman" w:cs="Times New Roman"/>
          <w:bCs/>
          <w:sz w:val="24"/>
          <w:szCs w:val="24"/>
        </w:rPr>
        <w:t xml:space="preserve"> hemorrhage and to identify independent predictors of in-hospital mortality in a three-year retrospective cohort from a tertiary care neurosurgical center.</w:t>
      </w:r>
    </w:p>
    <w:p w:rsidR="004633A1" w:rsidRPr="00504611" w:rsidRDefault="004633A1" w:rsidP="004633A1">
      <w:pPr>
        <w:jc w:val="both"/>
        <w:rPr>
          <w:rFonts w:ascii="Times New Roman" w:hAnsi="Times New Roman" w:cs="Times New Roman"/>
          <w:b/>
          <w:bCs/>
          <w:sz w:val="24"/>
          <w:szCs w:val="24"/>
        </w:rPr>
      </w:pPr>
      <w:r w:rsidRPr="00504611">
        <w:rPr>
          <w:rFonts w:ascii="Times New Roman" w:hAnsi="Times New Roman" w:cs="Times New Roman"/>
          <w:b/>
          <w:bCs/>
          <w:sz w:val="24"/>
          <w:szCs w:val="24"/>
        </w:rPr>
        <w:t>Methodology</w:t>
      </w:r>
    </w:p>
    <w:p w:rsidR="004633A1" w:rsidRPr="00504611" w:rsidRDefault="004633A1" w:rsidP="004633A1">
      <w:pPr>
        <w:jc w:val="both"/>
        <w:rPr>
          <w:rFonts w:ascii="Times New Roman" w:hAnsi="Times New Roman" w:cs="Times New Roman"/>
          <w:b/>
          <w:bCs/>
          <w:sz w:val="24"/>
          <w:szCs w:val="24"/>
        </w:rPr>
      </w:pPr>
      <w:r w:rsidRPr="00504611">
        <w:rPr>
          <w:rFonts w:ascii="Times New Roman" w:hAnsi="Times New Roman" w:cs="Times New Roman"/>
          <w:b/>
          <w:bCs/>
          <w:sz w:val="24"/>
          <w:szCs w:val="24"/>
        </w:rPr>
        <w:lastRenderedPageBreak/>
        <w:t>Study Design and Setting</w:t>
      </w:r>
    </w:p>
    <w:p w:rsidR="004633A1" w:rsidRPr="004633A1" w:rsidRDefault="004633A1" w:rsidP="004633A1">
      <w:pPr>
        <w:jc w:val="both"/>
        <w:rPr>
          <w:rFonts w:ascii="Times New Roman" w:hAnsi="Times New Roman" w:cs="Times New Roman"/>
          <w:bCs/>
          <w:sz w:val="24"/>
          <w:szCs w:val="24"/>
        </w:rPr>
      </w:pPr>
      <w:r w:rsidRPr="004633A1">
        <w:rPr>
          <w:rFonts w:ascii="Times New Roman" w:hAnsi="Times New Roman" w:cs="Times New Roman"/>
          <w:bCs/>
          <w:sz w:val="24"/>
          <w:szCs w:val="24"/>
        </w:rPr>
        <w:t xml:space="preserve">This retrospective observational cohort study was conducted in the Department of Neurosurgery at a tertiary care teaching hospital over a 3-year period. Hospital records and radiological databases were reviewed to identify all geriatric patients admitted with traumatic </w:t>
      </w:r>
      <w:proofErr w:type="spellStart"/>
      <w:r w:rsidRPr="004633A1">
        <w:rPr>
          <w:rFonts w:ascii="Times New Roman" w:hAnsi="Times New Roman" w:cs="Times New Roman"/>
          <w:bCs/>
          <w:sz w:val="24"/>
          <w:szCs w:val="24"/>
        </w:rPr>
        <w:t>intraventricular</w:t>
      </w:r>
      <w:proofErr w:type="spellEnd"/>
      <w:r w:rsidRPr="004633A1">
        <w:rPr>
          <w:rFonts w:ascii="Times New Roman" w:hAnsi="Times New Roman" w:cs="Times New Roman"/>
          <w:bCs/>
          <w:sz w:val="24"/>
          <w:szCs w:val="24"/>
        </w:rPr>
        <w:t xml:space="preserve"> hemorrhage (</w:t>
      </w:r>
      <w:proofErr w:type="spellStart"/>
      <w:r w:rsidRPr="004633A1">
        <w:rPr>
          <w:rFonts w:ascii="Times New Roman" w:hAnsi="Times New Roman" w:cs="Times New Roman"/>
          <w:bCs/>
          <w:sz w:val="24"/>
          <w:szCs w:val="24"/>
        </w:rPr>
        <w:t>tIVH</w:t>
      </w:r>
      <w:proofErr w:type="spellEnd"/>
      <w:r w:rsidRPr="004633A1">
        <w:rPr>
          <w:rFonts w:ascii="Times New Roman" w:hAnsi="Times New Roman" w:cs="Times New Roman"/>
          <w:bCs/>
          <w:sz w:val="24"/>
          <w:szCs w:val="24"/>
        </w:rPr>
        <w:t>). The study was performed in accordance with the ethical principles of the Declaration of Helsinki and institutional ethical guidelines. Approval from the Institutional Ethics Committee was obtained prior to commencement of the study.</w:t>
      </w:r>
    </w:p>
    <w:p w:rsidR="004633A1" w:rsidRPr="00504611" w:rsidRDefault="004633A1" w:rsidP="004633A1">
      <w:pPr>
        <w:jc w:val="both"/>
        <w:rPr>
          <w:rFonts w:ascii="Times New Roman" w:hAnsi="Times New Roman" w:cs="Times New Roman"/>
          <w:b/>
          <w:bCs/>
          <w:sz w:val="24"/>
          <w:szCs w:val="24"/>
        </w:rPr>
      </w:pPr>
      <w:r w:rsidRPr="00504611">
        <w:rPr>
          <w:rFonts w:ascii="Times New Roman" w:hAnsi="Times New Roman" w:cs="Times New Roman"/>
          <w:b/>
          <w:bCs/>
          <w:sz w:val="24"/>
          <w:szCs w:val="24"/>
        </w:rPr>
        <w:t>Study Population</w:t>
      </w:r>
    </w:p>
    <w:p w:rsidR="004633A1" w:rsidRPr="004633A1" w:rsidRDefault="004633A1" w:rsidP="004633A1">
      <w:pPr>
        <w:jc w:val="both"/>
        <w:rPr>
          <w:rFonts w:ascii="Times New Roman" w:hAnsi="Times New Roman" w:cs="Times New Roman"/>
          <w:bCs/>
          <w:sz w:val="24"/>
          <w:szCs w:val="24"/>
        </w:rPr>
      </w:pPr>
      <w:r w:rsidRPr="004633A1">
        <w:rPr>
          <w:rFonts w:ascii="Times New Roman" w:hAnsi="Times New Roman" w:cs="Times New Roman"/>
          <w:bCs/>
          <w:sz w:val="24"/>
          <w:szCs w:val="24"/>
        </w:rPr>
        <w:t xml:space="preserve">All patients aged 60 years or older admitted with a diagnosis of traumatic </w:t>
      </w:r>
      <w:proofErr w:type="spellStart"/>
      <w:r w:rsidRPr="004633A1">
        <w:rPr>
          <w:rFonts w:ascii="Times New Roman" w:hAnsi="Times New Roman" w:cs="Times New Roman"/>
          <w:bCs/>
          <w:sz w:val="24"/>
          <w:szCs w:val="24"/>
        </w:rPr>
        <w:t>intraventricular</w:t>
      </w:r>
      <w:proofErr w:type="spellEnd"/>
      <w:r w:rsidRPr="004633A1">
        <w:rPr>
          <w:rFonts w:ascii="Times New Roman" w:hAnsi="Times New Roman" w:cs="Times New Roman"/>
          <w:bCs/>
          <w:sz w:val="24"/>
          <w:szCs w:val="24"/>
        </w:rPr>
        <w:t xml:space="preserve"> hemorrhage confirmed on non-contrast computed tomography (NCCT) of the head during the study period were screened for eligibility. Patients with incomplete medical records, unavailable </w:t>
      </w:r>
      <w:proofErr w:type="spellStart"/>
      <w:r w:rsidRPr="004633A1">
        <w:rPr>
          <w:rFonts w:ascii="Times New Roman" w:hAnsi="Times New Roman" w:cs="Times New Roman"/>
          <w:bCs/>
          <w:sz w:val="24"/>
          <w:szCs w:val="24"/>
        </w:rPr>
        <w:t>neuroimaging</w:t>
      </w:r>
      <w:proofErr w:type="spellEnd"/>
      <w:r w:rsidRPr="004633A1">
        <w:rPr>
          <w:rFonts w:ascii="Times New Roman" w:hAnsi="Times New Roman" w:cs="Times New Roman"/>
          <w:bCs/>
          <w:sz w:val="24"/>
          <w:szCs w:val="24"/>
        </w:rPr>
        <w:t xml:space="preserve">, non-traumatic </w:t>
      </w:r>
      <w:proofErr w:type="spellStart"/>
      <w:r w:rsidRPr="004633A1">
        <w:rPr>
          <w:rFonts w:ascii="Times New Roman" w:hAnsi="Times New Roman" w:cs="Times New Roman"/>
          <w:bCs/>
          <w:sz w:val="24"/>
          <w:szCs w:val="24"/>
        </w:rPr>
        <w:t>intraventricular</w:t>
      </w:r>
      <w:proofErr w:type="spellEnd"/>
      <w:r w:rsidRPr="004633A1">
        <w:rPr>
          <w:rFonts w:ascii="Times New Roman" w:hAnsi="Times New Roman" w:cs="Times New Roman"/>
          <w:bCs/>
          <w:sz w:val="24"/>
          <w:szCs w:val="24"/>
        </w:rPr>
        <w:t xml:space="preserve"> hemorrhage, penetrating cranial injuries, or those transferred after definitive neurosurgical intervention elsewhere were excluded. Only the first admission of each patient was included in the final analysis to avoid duplication.</w:t>
      </w:r>
    </w:p>
    <w:p w:rsidR="004633A1" w:rsidRPr="00504611" w:rsidRDefault="004633A1" w:rsidP="004633A1">
      <w:pPr>
        <w:jc w:val="both"/>
        <w:rPr>
          <w:rFonts w:ascii="Times New Roman" w:hAnsi="Times New Roman" w:cs="Times New Roman"/>
          <w:b/>
          <w:bCs/>
          <w:sz w:val="24"/>
          <w:szCs w:val="24"/>
        </w:rPr>
      </w:pPr>
      <w:r w:rsidRPr="00504611">
        <w:rPr>
          <w:rFonts w:ascii="Times New Roman" w:hAnsi="Times New Roman" w:cs="Times New Roman"/>
          <w:b/>
          <w:bCs/>
          <w:sz w:val="24"/>
          <w:szCs w:val="24"/>
        </w:rPr>
        <w:t>Data Collection</w:t>
      </w:r>
    </w:p>
    <w:p w:rsidR="004633A1" w:rsidRPr="004633A1" w:rsidRDefault="004633A1" w:rsidP="004633A1">
      <w:pPr>
        <w:jc w:val="both"/>
        <w:rPr>
          <w:rFonts w:ascii="Times New Roman" w:hAnsi="Times New Roman" w:cs="Times New Roman"/>
          <w:bCs/>
          <w:sz w:val="24"/>
          <w:szCs w:val="24"/>
        </w:rPr>
      </w:pPr>
      <w:r w:rsidRPr="004633A1">
        <w:rPr>
          <w:rFonts w:ascii="Times New Roman" w:hAnsi="Times New Roman" w:cs="Times New Roman"/>
          <w:bCs/>
          <w:sz w:val="24"/>
          <w:szCs w:val="24"/>
        </w:rPr>
        <w:t xml:space="preserve">Clinical records, operative notes, laboratory records, and radiological imaging were reviewed retrospectively. Demographic variables included age and sex. Clinical variables recorded at admission included Glasgow Coma Scale (GCS), </w:t>
      </w:r>
      <w:proofErr w:type="spellStart"/>
      <w:r w:rsidRPr="004633A1">
        <w:rPr>
          <w:rFonts w:ascii="Times New Roman" w:hAnsi="Times New Roman" w:cs="Times New Roman"/>
          <w:bCs/>
          <w:sz w:val="24"/>
          <w:szCs w:val="24"/>
        </w:rPr>
        <w:t>pupillary</w:t>
      </w:r>
      <w:proofErr w:type="spellEnd"/>
      <w:r w:rsidRPr="004633A1">
        <w:rPr>
          <w:rFonts w:ascii="Times New Roman" w:hAnsi="Times New Roman" w:cs="Times New Roman"/>
          <w:bCs/>
          <w:sz w:val="24"/>
          <w:szCs w:val="24"/>
        </w:rPr>
        <w:t xml:space="preserve"> response, </w:t>
      </w:r>
      <w:proofErr w:type="gramStart"/>
      <w:r w:rsidRPr="004633A1">
        <w:rPr>
          <w:rFonts w:ascii="Times New Roman" w:hAnsi="Times New Roman" w:cs="Times New Roman"/>
          <w:bCs/>
          <w:sz w:val="24"/>
          <w:szCs w:val="24"/>
        </w:rPr>
        <w:t>mechanism</w:t>
      </w:r>
      <w:proofErr w:type="gramEnd"/>
      <w:r w:rsidRPr="004633A1">
        <w:rPr>
          <w:rFonts w:ascii="Times New Roman" w:hAnsi="Times New Roman" w:cs="Times New Roman"/>
          <w:bCs/>
          <w:sz w:val="24"/>
          <w:szCs w:val="24"/>
        </w:rPr>
        <w:t xml:space="preserve"> of injury, associated medical </w:t>
      </w:r>
      <w:proofErr w:type="spellStart"/>
      <w:r w:rsidRPr="004633A1">
        <w:rPr>
          <w:rFonts w:ascii="Times New Roman" w:hAnsi="Times New Roman" w:cs="Times New Roman"/>
          <w:bCs/>
          <w:sz w:val="24"/>
          <w:szCs w:val="24"/>
        </w:rPr>
        <w:t>comorbidities</w:t>
      </w:r>
      <w:proofErr w:type="spellEnd"/>
      <w:r w:rsidRPr="004633A1">
        <w:rPr>
          <w:rFonts w:ascii="Times New Roman" w:hAnsi="Times New Roman" w:cs="Times New Roman"/>
          <w:bCs/>
          <w:sz w:val="24"/>
          <w:szCs w:val="24"/>
        </w:rPr>
        <w:t>, and treatment modality (conservative or surgical).</w:t>
      </w:r>
      <w:r w:rsidR="00615ED5">
        <w:rPr>
          <w:rFonts w:ascii="Times New Roman" w:hAnsi="Times New Roman" w:cs="Times New Roman"/>
          <w:bCs/>
          <w:sz w:val="24"/>
          <w:szCs w:val="24"/>
        </w:rPr>
        <w:t xml:space="preserve"> </w:t>
      </w:r>
      <w:r w:rsidRPr="004633A1">
        <w:rPr>
          <w:rFonts w:ascii="Times New Roman" w:hAnsi="Times New Roman" w:cs="Times New Roman"/>
          <w:bCs/>
          <w:sz w:val="24"/>
          <w:szCs w:val="24"/>
        </w:rPr>
        <w:t xml:space="preserve">Radiological evaluation was performed using the admission NCCT brain. Imaging variables included associated intracranial injuries, subarachnoid hemorrhage (SAH), deep gray matter contusion, brainstem contusion, cerebral infarction, </w:t>
      </w:r>
      <w:proofErr w:type="spellStart"/>
      <w:r w:rsidRPr="004633A1">
        <w:rPr>
          <w:rFonts w:ascii="Times New Roman" w:hAnsi="Times New Roman" w:cs="Times New Roman"/>
          <w:bCs/>
          <w:sz w:val="24"/>
          <w:szCs w:val="24"/>
        </w:rPr>
        <w:t>ventriculomegaly</w:t>
      </w:r>
      <w:proofErr w:type="spellEnd"/>
      <w:r w:rsidRPr="004633A1">
        <w:rPr>
          <w:rFonts w:ascii="Times New Roman" w:hAnsi="Times New Roman" w:cs="Times New Roman"/>
          <w:bCs/>
          <w:sz w:val="24"/>
          <w:szCs w:val="24"/>
        </w:rPr>
        <w:t>, and midline shift greater than 5 mm. All radiological findings were recorded according to the official radiology report and independently verified from imaging when required.</w:t>
      </w:r>
      <w:r w:rsidR="00830576">
        <w:rPr>
          <w:rFonts w:ascii="Times New Roman" w:hAnsi="Times New Roman" w:cs="Times New Roman"/>
          <w:bCs/>
          <w:sz w:val="24"/>
          <w:szCs w:val="24"/>
        </w:rPr>
        <w:t xml:space="preserve"> </w:t>
      </w:r>
      <w:r w:rsidRPr="004633A1">
        <w:rPr>
          <w:rFonts w:ascii="Times New Roman" w:hAnsi="Times New Roman" w:cs="Times New Roman"/>
          <w:bCs/>
          <w:sz w:val="24"/>
          <w:szCs w:val="24"/>
        </w:rPr>
        <w:t>The primary outcome measure was in-hospital mortality, categorized as discharged alive or expired during hospitalization.</w:t>
      </w:r>
    </w:p>
    <w:p w:rsidR="004633A1" w:rsidRPr="00504611" w:rsidRDefault="004633A1" w:rsidP="004633A1">
      <w:pPr>
        <w:jc w:val="both"/>
        <w:rPr>
          <w:rFonts w:ascii="Times New Roman" w:hAnsi="Times New Roman" w:cs="Times New Roman"/>
          <w:b/>
          <w:bCs/>
          <w:sz w:val="24"/>
          <w:szCs w:val="24"/>
        </w:rPr>
      </w:pPr>
      <w:r w:rsidRPr="00504611">
        <w:rPr>
          <w:rFonts w:ascii="Times New Roman" w:hAnsi="Times New Roman" w:cs="Times New Roman"/>
          <w:b/>
          <w:bCs/>
          <w:sz w:val="24"/>
          <w:szCs w:val="24"/>
        </w:rPr>
        <w:t>Statistical Analysis</w:t>
      </w:r>
    </w:p>
    <w:p w:rsidR="004633A1" w:rsidRPr="004633A1" w:rsidRDefault="004633A1" w:rsidP="004633A1">
      <w:pPr>
        <w:jc w:val="both"/>
        <w:rPr>
          <w:rFonts w:ascii="Times New Roman" w:hAnsi="Times New Roman" w:cs="Times New Roman"/>
          <w:bCs/>
          <w:sz w:val="24"/>
          <w:szCs w:val="24"/>
        </w:rPr>
      </w:pPr>
      <w:r w:rsidRPr="004633A1">
        <w:rPr>
          <w:rFonts w:ascii="Times New Roman" w:hAnsi="Times New Roman" w:cs="Times New Roman"/>
          <w:bCs/>
          <w:sz w:val="24"/>
          <w:szCs w:val="24"/>
        </w:rPr>
        <w:t>Statistical analysis was performed using IBM SPSS Statistics version 29.0 (IBM Corp., Armonk, NY, USA). Continuous variables were assessed for normality using the Shapiro–</w:t>
      </w:r>
      <w:proofErr w:type="spellStart"/>
      <w:r w:rsidRPr="004633A1">
        <w:rPr>
          <w:rFonts w:ascii="Times New Roman" w:hAnsi="Times New Roman" w:cs="Times New Roman"/>
          <w:bCs/>
          <w:sz w:val="24"/>
          <w:szCs w:val="24"/>
        </w:rPr>
        <w:t>Wilk</w:t>
      </w:r>
      <w:proofErr w:type="spellEnd"/>
      <w:r w:rsidRPr="004633A1">
        <w:rPr>
          <w:rFonts w:ascii="Times New Roman" w:hAnsi="Times New Roman" w:cs="Times New Roman"/>
          <w:bCs/>
          <w:sz w:val="24"/>
          <w:szCs w:val="24"/>
        </w:rPr>
        <w:t xml:space="preserve"> test. Normally distributed variables were expressed as mean ± standard deviation (SD) and compared using the independent samples Student's t-test, whereas non-normally distributed variables were reported as median with </w:t>
      </w:r>
      <w:proofErr w:type="spellStart"/>
      <w:r w:rsidRPr="004633A1">
        <w:rPr>
          <w:rFonts w:ascii="Times New Roman" w:hAnsi="Times New Roman" w:cs="Times New Roman"/>
          <w:bCs/>
          <w:sz w:val="24"/>
          <w:szCs w:val="24"/>
        </w:rPr>
        <w:t>interquartile</w:t>
      </w:r>
      <w:proofErr w:type="spellEnd"/>
      <w:r w:rsidRPr="004633A1">
        <w:rPr>
          <w:rFonts w:ascii="Times New Roman" w:hAnsi="Times New Roman" w:cs="Times New Roman"/>
          <w:bCs/>
          <w:sz w:val="24"/>
          <w:szCs w:val="24"/>
        </w:rPr>
        <w:t xml:space="preserve"> range (IQR) and compared using the Mann–Whitney U test. Categorical variables were summarized as frequencies and percentages and compared using the Chi-square test or Fisher's exact test, as appropriate.</w:t>
      </w:r>
      <w:r w:rsidR="00830576">
        <w:rPr>
          <w:rFonts w:ascii="Times New Roman" w:hAnsi="Times New Roman" w:cs="Times New Roman"/>
          <w:bCs/>
          <w:sz w:val="24"/>
          <w:szCs w:val="24"/>
        </w:rPr>
        <w:t xml:space="preserve"> </w:t>
      </w:r>
      <w:r w:rsidRPr="004633A1">
        <w:rPr>
          <w:rFonts w:ascii="Times New Roman" w:hAnsi="Times New Roman" w:cs="Times New Roman"/>
          <w:bCs/>
          <w:sz w:val="24"/>
          <w:szCs w:val="24"/>
        </w:rPr>
        <w:t xml:space="preserve">Variables demonstrating a P value &lt;0.10 on </w:t>
      </w:r>
      <w:proofErr w:type="spellStart"/>
      <w:r w:rsidRPr="004633A1">
        <w:rPr>
          <w:rFonts w:ascii="Times New Roman" w:hAnsi="Times New Roman" w:cs="Times New Roman"/>
          <w:bCs/>
          <w:sz w:val="24"/>
          <w:szCs w:val="24"/>
        </w:rPr>
        <w:t>univariate</w:t>
      </w:r>
      <w:proofErr w:type="spellEnd"/>
      <w:r w:rsidRPr="004633A1">
        <w:rPr>
          <w:rFonts w:ascii="Times New Roman" w:hAnsi="Times New Roman" w:cs="Times New Roman"/>
          <w:bCs/>
          <w:sz w:val="24"/>
          <w:szCs w:val="24"/>
        </w:rPr>
        <w:t xml:space="preserve"> analysis, together with clinically relevant variables identified from previous literature, were entered into a multivariable binary logistic regression model to identify independent predictors of in-hospital mortality. Results were expressed as odds ratios (ORs) with </w:t>
      </w:r>
      <w:r w:rsidRPr="004633A1">
        <w:rPr>
          <w:rFonts w:ascii="Times New Roman" w:hAnsi="Times New Roman" w:cs="Times New Roman"/>
          <w:bCs/>
          <w:sz w:val="24"/>
          <w:szCs w:val="24"/>
        </w:rPr>
        <w:lastRenderedPageBreak/>
        <w:t>95% confidence intervals (CIs). A two-tailed P value &lt;0.05 was considered statistically significant.</w:t>
      </w:r>
    </w:p>
    <w:p w:rsidR="004633A1" w:rsidRPr="00830576" w:rsidRDefault="004633A1" w:rsidP="004633A1">
      <w:pPr>
        <w:jc w:val="both"/>
        <w:rPr>
          <w:rFonts w:ascii="Times New Roman" w:hAnsi="Times New Roman" w:cs="Times New Roman"/>
          <w:b/>
          <w:bCs/>
          <w:sz w:val="24"/>
          <w:szCs w:val="24"/>
        </w:rPr>
      </w:pPr>
      <w:r w:rsidRPr="00830576">
        <w:rPr>
          <w:rFonts w:ascii="Times New Roman" w:hAnsi="Times New Roman" w:cs="Times New Roman"/>
          <w:b/>
          <w:bCs/>
          <w:sz w:val="24"/>
          <w:szCs w:val="24"/>
        </w:rPr>
        <w:t>Results</w:t>
      </w:r>
    </w:p>
    <w:p w:rsidR="004633A1" w:rsidRPr="004633A1" w:rsidRDefault="004633A1" w:rsidP="004633A1">
      <w:pPr>
        <w:jc w:val="both"/>
        <w:rPr>
          <w:rFonts w:ascii="Times New Roman" w:hAnsi="Times New Roman" w:cs="Times New Roman"/>
          <w:sz w:val="24"/>
          <w:szCs w:val="24"/>
        </w:rPr>
      </w:pPr>
      <w:r w:rsidRPr="004633A1">
        <w:rPr>
          <w:rFonts w:ascii="Times New Roman" w:hAnsi="Times New Roman" w:cs="Times New Roman"/>
          <w:sz w:val="24"/>
          <w:szCs w:val="24"/>
        </w:rPr>
        <w:t xml:space="preserve">A total of </w:t>
      </w:r>
      <w:r w:rsidRPr="004633A1">
        <w:rPr>
          <w:rFonts w:ascii="Times New Roman" w:hAnsi="Times New Roman" w:cs="Times New Roman"/>
          <w:bCs/>
          <w:sz w:val="24"/>
          <w:szCs w:val="24"/>
        </w:rPr>
        <w:t>93 geriatric patients</w:t>
      </w:r>
      <w:r w:rsidRPr="004633A1">
        <w:rPr>
          <w:rFonts w:ascii="Times New Roman" w:hAnsi="Times New Roman" w:cs="Times New Roman"/>
          <w:sz w:val="24"/>
          <w:szCs w:val="24"/>
        </w:rPr>
        <w:t xml:space="preserve"> with traumatic </w:t>
      </w:r>
      <w:proofErr w:type="spellStart"/>
      <w:r w:rsidRPr="004633A1">
        <w:rPr>
          <w:rFonts w:ascii="Times New Roman" w:hAnsi="Times New Roman" w:cs="Times New Roman"/>
          <w:sz w:val="24"/>
          <w:szCs w:val="24"/>
        </w:rPr>
        <w:t>intraventricular</w:t>
      </w:r>
      <w:proofErr w:type="spellEnd"/>
      <w:r w:rsidRPr="004633A1">
        <w:rPr>
          <w:rFonts w:ascii="Times New Roman" w:hAnsi="Times New Roman" w:cs="Times New Roman"/>
          <w:sz w:val="24"/>
          <w:szCs w:val="24"/>
        </w:rPr>
        <w:t xml:space="preserve"> hemorrhage fulfilled the inclusion criteria during the three-year study period. Of these, </w:t>
      </w:r>
      <w:r w:rsidRPr="004633A1">
        <w:rPr>
          <w:rFonts w:ascii="Times New Roman" w:hAnsi="Times New Roman" w:cs="Times New Roman"/>
          <w:bCs/>
          <w:sz w:val="24"/>
          <w:szCs w:val="24"/>
        </w:rPr>
        <w:t>23 (24.7%)</w:t>
      </w:r>
      <w:r w:rsidRPr="004633A1">
        <w:rPr>
          <w:rFonts w:ascii="Times New Roman" w:hAnsi="Times New Roman" w:cs="Times New Roman"/>
          <w:sz w:val="24"/>
          <w:szCs w:val="24"/>
        </w:rPr>
        <w:t xml:space="preserve"> patients survived to discharge whereas </w:t>
      </w:r>
      <w:r w:rsidRPr="004633A1">
        <w:rPr>
          <w:rFonts w:ascii="Times New Roman" w:hAnsi="Times New Roman" w:cs="Times New Roman"/>
          <w:bCs/>
          <w:sz w:val="24"/>
          <w:szCs w:val="24"/>
        </w:rPr>
        <w:t>70 (75.3%)</w:t>
      </w:r>
      <w:r w:rsidRPr="004633A1">
        <w:rPr>
          <w:rFonts w:ascii="Times New Roman" w:hAnsi="Times New Roman" w:cs="Times New Roman"/>
          <w:sz w:val="24"/>
          <w:szCs w:val="24"/>
        </w:rPr>
        <w:t xml:space="preserve"> died during hospitalization.</w:t>
      </w:r>
      <w:r w:rsidR="00751248">
        <w:rPr>
          <w:rFonts w:ascii="Times New Roman" w:hAnsi="Times New Roman" w:cs="Times New Roman"/>
          <w:sz w:val="24"/>
          <w:szCs w:val="24"/>
        </w:rPr>
        <w:t xml:space="preserve"> </w:t>
      </w:r>
      <w:r w:rsidRPr="004633A1">
        <w:rPr>
          <w:rFonts w:ascii="Times New Roman" w:hAnsi="Times New Roman" w:cs="Times New Roman"/>
          <w:sz w:val="24"/>
          <w:szCs w:val="24"/>
        </w:rPr>
        <w:t xml:space="preserve">The mean age of the study population </w:t>
      </w:r>
      <w:proofErr w:type="gramStart"/>
      <w:r w:rsidRPr="004633A1">
        <w:rPr>
          <w:rFonts w:ascii="Times New Roman" w:hAnsi="Times New Roman" w:cs="Times New Roman"/>
          <w:sz w:val="24"/>
          <w:szCs w:val="24"/>
        </w:rPr>
        <w:t xml:space="preserve">was approximately </w:t>
      </w:r>
      <w:r w:rsidRPr="004633A1">
        <w:rPr>
          <w:rFonts w:ascii="Times New Roman" w:hAnsi="Times New Roman" w:cs="Times New Roman"/>
          <w:bCs/>
          <w:sz w:val="24"/>
          <w:szCs w:val="24"/>
        </w:rPr>
        <w:t>69 years</w:t>
      </w:r>
      <w:r w:rsidRPr="004633A1">
        <w:rPr>
          <w:rFonts w:ascii="Times New Roman" w:hAnsi="Times New Roman" w:cs="Times New Roman"/>
          <w:sz w:val="24"/>
          <w:szCs w:val="24"/>
        </w:rPr>
        <w:t>, with males constituting</w:t>
      </w:r>
      <w:proofErr w:type="gramEnd"/>
      <w:r w:rsidRPr="004633A1">
        <w:rPr>
          <w:rFonts w:ascii="Times New Roman" w:hAnsi="Times New Roman" w:cs="Times New Roman"/>
          <w:sz w:val="24"/>
          <w:szCs w:val="24"/>
        </w:rPr>
        <w:t xml:space="preserve"> the majority of patients. Most patients presented with severe traumatic brain injury (GCS ≤8) and were managed conservatively.</w:t>
      </w:r>
    </w:p>
    <w:p w:rsidR="004633A1" w:rsidRPr="00751248" w:rsidRDefault="004633A1" w:rsidP="00751248">
      <w:pPr>
        <w:jc w:val="center"/>
        <w:rPr>
          <w:rFonts w:ascii="Times New Roman" w:hAnsi="Times New Roman" w:cs="Times New Roman"/>
          <w:bCs/>
          <w:sz w:val="24"/>
          <w:szCs w:val="24"/>
          <w:u w:val="single"/>
        </w:rPr>
      </w:pPr>
      <w:r w:rsidRPr="00751248">
        <w:rPr>
          <w:rFonts w:ascii="Times New Roman" w:hAnsi="Times New Roman" w:cs="Times New Roman"/>
          <w:bCs/>
          <w:sz w:val="24"/>
          <w:szCs w:val="24"/>
          <w:u w:val="single"/>
        </w:rPr>
        <w:t>Table 1</w:t>
      </w:r>
      <w:r w:rsidR="00751248" w:rsidRPr="00751248">
        <w:rPr>
          <w:rFonts w:ascii="Times New Roman" w:hAnsi="Times New Roman" w:cs="Times New Roman"/>
          <w:bCs/>
          <w:sz w:val="24"/>
          <w:szCs w:val="24"/>
          <w:u w:val="single"/>
        </w:rPr>
        <w:t xml:space="preserve">: </w:t>
      </w:r>
      <w:r w:rsidRPr="00751248">
        <w:rPr>
          <w:rFonts w:ascii="Times New Roman" w:hAnsi="Times New Roman" w:cs="Times New Roman"/>
          <w:bCs/>
          <w:sz w:val="24"/>
          <w:szCs w:val="24"/>
          <w:u w:val="single"/>
        </w:rPr>
        <w:t>Baseline demographic and clinical characteristics of the study population (n = 93)</w:t>
      </w:r>
    </w:p>
    <w:tbl>
      <w:tblPr>
        <w:tblStyle w:val="LightShading-Accent1"/>
        <w:tblW w:w="0" w:type="auto"/>
        <w:jc w:val="center"/>
        <w:tblInd w:w="-530" w:type="dxa"/>
        <w:tblLook w:val="04A0"/>
      </w:tblPr>
      <w:tblGrid>
        <w:gridCol w:w="3773"/>
        <w:gridCol w:w="1817"/>
      </w:tblGrid>
      <w:tr w:rsidR="004633A1" w:rsidRPr="004633A1" w:rsidTr="00751248">
        <w:trPr>
          <w:cnfStyle w:val="100000000000"/>
          <w:jc w:val="center"/>
        </w:trPr>
        <w:tc>
          <w:tcPr>
            <w:cnfStyle w:val="001000000000"/>
            <w:tcW w:w="3773"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Variable</w:t>
            </w:r>
          </w:p>
        </w:tc>
        <w:tc>
          <w:tcPr>
            <w:tcW w:w="1817" w:type="dxa"/>
            <w:hideMark/>
          </w:tcPr>
          <w:p w:rsidR="004633A1" w:rsidRPr="004633A1" w:rsidRDefault="004633A1" w:rsidP="004633A1">
            <w:pPr>
              <w:spacing w:after="200" w:line="276" w:lineRule="auto"/>
              <w:jc w:val="both"/>
              <w:cnfStyle w:val="100000000000"/>
              <w:rPr>
                <w:rFonts w:ascii="Times New Roman" w:hAnsi="Times New Roman" w:cs="Times New Roman"/>
                <w:b w:val="0"/>
                <w:sz w:val="24"/>
                <w:szCs w:val="24"/>
              </w:rPr>
            </w:pPr>
            <w:r w:rsidRPr="004633A1">
              <w:rPr>
                <w:rFonts w:ascii="Times New Roman" w:hAnsi="Times New Roman" w:cs="Times New Roman"/>
                <w:b w:val="0"/>
                <w:sz w:val="24"/>
                <w:szCs w:val="24"/>
              </w:rPr>
              <w:t>Overall</w:t>
            </w:r>
          </w:p>
        </w:tc>
      </w:tr>
      <w:tr w:rsidR="004633A1" w:rsidRPr="004633A1" w:rsidTr="00751248">
        <w:trPr>
          <w:cnfStyle w:val="000000100000"/>
          <w:jc w:val="center"/>
        </w:trPr>
        <w:tc>
          <w:tcPr>
            <w:cnfStyle w:val="001000000000"/>
            <w:tcW w:w="3773"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Number of patients</w:t>
            </w:r>
          </w:p>
        </w:tc>
        <w:tc>
          <w:tcPr>
            <w:tcW w:w="1817" w:type="dxa"/>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bCs/>
                <w:sz w:val="24"/>
                <w:szCs w:val="24"/>
              </w:rPr>
              <w:t>93</w:t>
            </w:r>
          </w:p>
        </w:tc>
      </w:tr>
      <w:tr w:rsidR="004633A1" w:rsidRPr="004633A1" w:rsidTr="00751248">
        <w:trPr>
          <w:jc w:val="center"/>
        </w:trPr>
        <w:tc>
          <w:tcPr>
            <w:cnfStyle w:val="001000000000"/>
            <w:tcW w:w="3773"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Age (years), mean ± SD</w:t>
            </w:r>
          </w:p>
        </w:tc>
        <w:tc>
          <w:tcPr>
            <w:tcW w:w="1817" w:type="dxa"/>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69.2 ± 6.5</w:t>
            </w:r>
          </w:p>
        </w:tc>
      </w:tr>
      <w:tr w:rsidR="004633A1" w:rsidRPr="004633A1" w:rsidTr="00751248">
        <w:trPr>
          <w:cnfStyle w:val="000000100000"/>
          <w:jc w:val="center"/>
        </w:trPr>
        <w:tc>
          <w:tcPr>
            <w:cnfStyle w:val="001000000000"/>
            <w:tcW w:w="3773"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Male sex</w:t>
            </w:r>
          </w:p>
        </w:tc>
        <w:tc>
          <w:tcPr>
            <w:tcW w:w="1817" w:type="dxa"/>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67 (72.0%)</w:t>
            </w:r>
          </w:p>
        </w:tc>
      </w:tr>
      <w:tr w:rsidR="004633A1" w:rsidRPr="004633A1" w:rsidTr="00751248">
        <w:trPr>
          <w:jc w:val="center"/>
        </w:trPr>
        <w:tc>
          <w:tcPr>
            <w:cnfStyle w:val="001000000000"/>
            <w:tcW w:w="3773"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Female sex</w:t>
            </w:r>
          </w:p>
        </w:tc>
        <w:tc>
          <w:tcPr>
            <w:tcW w:w="1817" w:type="dxa"/>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26 (28.0%)</w:t>
            </w:r>
          </w:p>
        </w:tc>
      </w:tr>
      <w:tr w:rsidR="004633A1" w:rsidRPr="004633A1" w:rsidTr="00751248">
        <w:trPr>
          <w:cnfStyle w:val="000000100000"/>
          <w:jc w:val="center"/>
        </w:trPr>
        <w:tc>
          <w:tcPr>
            <w:cnfStyle w:val="001000000000"/>
            <w:tcW w:w="3773"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Admission GCS, median (IQR)</w:t>
            </w:r>
          </w:p>
        </w:tc>
        <w:tc>
          <w:tcPr>
            <w:tcW w:w="1817" w:type="dxa"/>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7 (5–10)</w:t>
            </w:r>
          </w:p>
        </w:tc>
      </w:tr>
      <w:tr w:rsidR="004633A1" w:rsidRPr="004633A1" w:rsidTr="00751248">
        <w:trPr>
          <w:jc w:val="center"/>
        </w:trPr>
        <w:tc>
          <w:tcPr>
            <w:cnfStyle w:val="001000000000"/>
            <w:tcW w:w="3773"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Severe TBI (GCS ≤8)</w:t>
            </w:r>
          </w:p>
        </w:tc>
        <w:tc>
          <w:tcPr>
            <w:tcW w:w="1817" w:type="dxa"/>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56 (60.2%)</w:t>
            </w:r>
          </w:p>
        </w:tc>
      </w:tr>
      <w:tr w:rsidR="004633A1" w:rsidRPr="004633A1" w:rsidTr="00751248">
        <w:trPr>
          <w:cnfStyle w:val="000000100000"/>
          <w:jc w:val="center"/>
        </w:trPr>
        <w:tc>
          <w:tcPr>
            <w:cnfStyle w:val="001000000000"/>
            <w:tcW w:w="3773"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Equal reactive pupils</w:t>
            </w:r>
          </w:p>
        </w:tc>
        <w:tc>
          <w:tcPr>
            <w:tcW w:w="1817" w:type="dxa"/>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45 (48.4%)</w:t>
            </w:r>
          </w:p>
        </w:tc>
      </w:tr>
      <w:tr w:rsidR="004633A1" w:rsidRPr="004633A1" w:rsidTr="00751248">
        <w:trPr>
          <w:jc w:val="center"/>
        </w:trPr>
        <w:tc>
          <w:tcPr>
            <w:cnfStyle w:val="001000000000"/>
            <w:tcW w:w="3773"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Sluggish pupils</w:t>
            </w:r>
          </w:p>
        </w:tc>
        <w:tc>
          <w:tcPr>
            <w:tcW w:w="1817" w:type="dxa"/>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18 (19.4%)</w:t>
            </w:r>
          </w:p>
        </w:tc>
      </w:tr>
      <w:tr w:rsidR="004633A1" w:rsidRPr="004633A1" w:rsidTr="00751248">
        <w:trPr>
          <w:cnfStyle w:val="000000100000"/>
          <w:jc w:val="center"/>
        </w:trPr>
        <w:tc>
          <w:tcPr>
            <w:cnfStyle w:val="001000000000"/>
            <w:tcW w:w="3773"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Mid-dilated fixed pupils</w:t>
            </w:r>
          </w:p>
        </w:tc>
        <w:tc>
          <w:tcPr>
            <w:tcW w:w="1817" w:type="dxa"/>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12 (12.9%)</w:t>
            </w:r>
          </w:p>
        </w:tc>
      </w:tr>
      <w:tr w:rsidR="004633A1" w:rsidRPr="004633A1" w:rsidTr="00751248">
        <w:trPr>
          <w:jc w:val="center"/>
        </w:trPr>
        <w:tc>
          <w:tcPr>
            <w:cnfStyle w:val="001000000000"/>
            <w:tcW w:w="3773"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Bilateral fixed dilated pupils</w:t>
            </w:r>
          </w:p>
        </w:tc>
        <w:tc>
          <w:tcPr>
            <w:tcW w:w="1817" w:type="dxa"/>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18 (19.4%)</w:t>
            </w:r>
          </w:p>
        </w:tc>
      </w:tr>
      <w:tr w:rsidR="004633A1" w:rsidRPr="004633A1" w:rsidTr="00751248">
        <w:trPr>
          <w:cnfStyle w:val="000000100000"/>
          <w:jc w:val="center"/>
        </w:trPr>
        <w:tc>
          <w:tcPr>
            <w:cnfStyle w:val="001000000000"/>
            <w:tcW w:w="3773"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Conservative treatment</w:t>
            </w:r>
          </w:p>
        </w:tc>
        <w:tc>
          <w:tcPr>
            <w:tcW w:w="1817" w:type="dxa"/>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71 (76.3%)</w:t>
            </w:r>
          </w:p>
        </w:tc>
      </w:tr>
      <w:tr w:rsidR="004633A1" w:rsidRPr="004633A1" w:rsidTr="00751248">
        <w:trPr>
          <w:jc w:val="center"/>
        </w:trPr>
        <w:tc>
          <w:tcPr>
            <w:cnfStyle w:val="001000000000"/>
            <w:tcW w:w="3773"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Surgical treatment</w:t>
            </w:r>
          </w:p>
        </w:tc>
        <w:tc>
          <w:tcPr>
            <w:tcW w:w="1817" w:type="dxa"/>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22 (23.7%)</w:t>
            </w:r>
          </w:p>
        </w:tc>
      </w:tr>
      <w:tr w:rsidR="004633A1" w:rsidRPr="004633A1" w:rsidTr="00751248">
        <w:trPr>
          <w:cnfStyle w:val="000000100000"/>
          <w:jc w:val="center"/>
        </w:trPr>
        <w:tc>
          <w:tcPr>
            <w:cnfStyle w:val="001000000000"/>
            <w:tcW w:w="3773"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In-hospital mortality</w:t>
            </w:r>
          </w:p>
        </w:tc>
        <w:tc>
          <w:tcPr>
            <w:tcW w:w="1817" w:type="dxa"/>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70 (75.3%)</w:t>
            </w:r>
          </w:p>
        </w:tc>
      </w:tr>
    </w:tbl>
    <w:p w:rsidR="00751248" w:rsidRDefault="00751248" w:rsidP="004633A1">
      <w:pPr>
        <w:jc w:val="both"/>
        <w:rPr>
          <w:rFonts w:ascii="Times New Roman" w:hAnsi="Times New Roman" w:cs="Times New Roman"/>
          <w:bCs/>
          <w:sz w:val="24"/>
          <w:szCs w:val="24"/>
        </w:rPr>
      </w:pPr>
    </w:p>
    <w:p w:rsidR="00751248" w:rsidRDefault="00751248" w:rsidP="00751248">
      <w:pPr>
        <w:jc w:val="center"/>
        <w:rPr>
          <w:rFonts w:ascii="Times New Roman" w:hAnsi="Times New Roman" w:cs="Times New Roman"/>
          <w:bCs/>
          <w:sz w:val="24"/>
          <w:szCs w:val="24"/>
          <w:u w:val="single"/>
        </w:rPr>
      </w:pPr>
    </w:p>
    <w:p w:rsidR="00751248" w:rsidRDefault="00751248" w:rsidP="00751248">
      <w:pPr>
        <w:jc w:val="center"/>
        <w:rPr>
          <w:rFonts w:ascii="Times New Roman" w:hAnsi="Times New Roman" w:cs="Times New Roman"/>
          <w:bCs/>
          <w:sz w:val="24"/>
          <w:szCs w:val="24"/>
          <w:u w:val="single"/>
        </w:rPr>
      </w:pPr>
    </w:p>
    <w:p w:rsidR="00751248" w:rsidRDefault="00751248" w:rsidP="00751248">
      <w:pPr>
        <w:jc w:val="center"/>
        <w:rPr>
          <w:rFonts w:ascii="Times New Roman" w:hAnsi="Times New Roman" w:cs="Times New Roman"/>
          <w:bCs/>
          <w:sz w:val="24"/>
          <w:szCs w:val="24"/>
          <w:u w:val="single"/>
        </w:rPr>
      </w:pPr>
    </w:p>
    <w:p w:rsidR="004633A1" w:rsidRPr="00751248" w:rsidRDefault="004633A1" w:rsidP="00751248">
      <w:pPr>
        <w:jc w:val="center"/>
        <w:rPr>
          <w:rFonts w:ascii="Times New Roman" w:hAnsi="Times New Roman" w:cs="Times New Roman"/>
          <w:bCs/>
          <w:sz w:val="24"/>
          <w:szCs w:val="24"/>
          <w:u w:val="single"/>
        </w:rPr>
      </w:pPr>
      <w:proofErr w:type="gramStart"/>
      <w:r w:rsidRPr="00751248">
        <w:rPr>
          <w:rFonts w:ascii="Times New Roman" w:hAnsi="Times New Roman" w:cs="Times New Roman"/>
          <w:bCs/>
          <w:sz w:val="24"/>
          <w:szCs w:val="24"/>
          <w:u w:val="single"/>
        </w:rPr>
        <w:lastRenderedPageBreak/>
        <w:t>Table 2.</w:t>
      </w:r>
      <w:proofErr w:type="gramEnd"/>
      <w:r w:rsidRPr="00751248">
        <w:rPr>
          <w:rFonts w:ascii="Times New Roman" w:hAnsi="Times New Roman" w:cs="Times New Roman"/>
          <w:bCs/>
          <w:sz w:val="24"/>
          <w:szCs w:val="24"/>
          <w:u w:val="single"/>
        </w:rPr>
        <w:t xml:space="preserve"> Radiological characteristics</w:t>
      </w:r>
    </w:p>
    <w:tbl>
      <w:tblPr>
        <w:tblStyle w:val="LightShading-Accent1"/>
        <w:tblW w:w="0" w:type="auto"/>
        <w:jc w:val="center"/>
        <w:tblInd w:w="-1386" w:type="dxa"/>
        <w:tblLook w:val="04A0"/>
      </w:tblPr>
      <w:tblGrid>
        <w:gridCol w:w="4362"/>
        <w:gridCol w:w="1296"/>
      </w:tblGrid>
      <w:tr w:rsidR="004633A1" w:rsidRPr="004633A1" w:rsidTr="00751248">
        <w:trPr>
          <w:cnfStyle w:val="100000000000"/>
          <w:jc w:val="center"/>
        </w:trPr>
        <w:tc>
          <w:tcPr>
            <w:cnfStyle w:val="001000000000"/>
            <w:tcW w:w="4362"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Radiological variable</w:t>
            </w:r>
          </w:p>
        </w:tc>
        <w:tc>
          <w:tcPr>
            <w:tcW w:w="0" w:type="auto"/>
            <w:hideMark/>
          </w:tcPr>
          <w:p w:rsidR="004633A1" w:rsidRPr="004633A1" w:rsidRDefault="004633A1" w:rsidP="004633A1">
            <w:pPr>
              <w:spacing w:after="200" w:line="276" w:lineRule="auto"/>
              <w:jc w:val="both"/>
              <w:cnfStyle w:val="100000000000"/>
              <w:rPr>
                <w:rFonts w:ascii="Times New Roman" w:hAnsi="Times New Roman" w:cs="Times New Roman"/>
                <w:b w:val="0"/>
                <w:sz w:val="24"/>
                <w:szCs w:val="24"/>
              </w:rPr>
            </w:pPr>
            <w:r w:rsidRPr="004633A1">
              <w:rPr>
                <w:rFonts w:ascii="Times New Roman" w:hAnsi="Times New Roman" w:cs="Times New Roman"/>
                <w:b w:val="0"/>
                <w:sz w:val="24"/>
                <w:szCs w:val="24"/>
              </w:rPr>
              <w:t>Overall</w:t>
            </w:r>
          </w:p>
        </w:tc>
      </w:tr>
      <w:tr w:rsidR="004633A1" w:rsidRPr="004633A1" w:rsidTr="00751248">
        <w:trPr>
          <w:cnfStyle w:val="000000100000"/>
          <w:jc w:val="center"/>
        </w:trPr>
        <w:tc>
          <w:tcPr>
            <w:cnfStyle w:val="001000000000"/>
            <w:tcW w:w="4362"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Associated SAH</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54 (58.1%)</w:t>
            </w:r>
          </w:p>
        </w:tc>
      </w:tr>
      <w:tr w:rsidR="004633A1" w:rsidRPr="004633A1" w:rsidTr="00751248">
        <w:trPr>
          <w:jc w:val="center"/>
        </w:trPr>
        <w:tc>
          <w:tcPr>
            <w:cnfStyle w:val="001000000000"/>
            <w:tcW w:w="4362"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Deep gray matter contusion</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18 (19.4%)</w:t>
            </w:r>
          </w:p>
        </w:tc>
      </w:tr>
      <w:tr w:rsidR="004633A1" w:rsidRPr="004633A1" w:rsidTr="00751248">
        <w:trPr>
          <w:cnfStyle w:val="000000100000"/>
          <w:jc w:val="center"/>
        </w:trPr>
        <w:tc>
          <w:tcPr>
            <w:cnfStyle w:val="001000000000"/>
            <w:tcW w:w="4362"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Brainstem contusion</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16 (17.2%)</w:t>
            </w:r>
          </w:p>
        </w:tc>
      </w:tr>
      <w:tr w:rsidR="004633A1" w:rsidRPr="004633A1" w:rsidTr="00751248">
        <w:trPr>
          <w:jc w:val="center"/>
        </w:trPr>
        <w:tc>
          <w:tcPr>
            <w:cnfStyle w:val="001000000000"/>
            <w:tcW w:w="4362"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Cerebral infarction</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14 (15.1%)</w:t>
            </w:r>
          </w:p>
        </w:tc>
      </w:tr>
      <w:tr w:rsidR="004633A1" w:rsidRPr="004633A1" w:rsidTr="00751248">
        <w:trPr>
          <w:cnfStyle w:val="000000100000"/>
          <w:jc w:val="center"/>
        </w:trPr>
        <w:tc>
          <w:tcPr>
            <w:cnfStyle w:val="001000000000"/>
            <w:tcW w:w="4362"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Midline shift &gt;5 mm</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29 (31.2%)</w:t>
            </w:r>
          </w:p>
        </w:tc>
      </w:tr>
      <w:tr w:rsidR="004633A1" w:rsidRPr="004633A1" w:rsidTr="00751248">
        <w:trPr>
          <w:jc w:val="center"/>
        </w:trPr>
        <w:tc>
          <w:tcPr>
            <w:cnfStyle w:val="001000000000"/>
            <w:tcW w:w="4362" w:type="dxa"/>
            <w:hideMark/>
          </w:tcPr>
          <w:p w:rsidR="004633A1" w:rsidRPr="004633A1" w:rsidRDefault="004633A1" w:rsidP="004633A1">
            <w:pPr>
              <w:spacing w:after="200" w:line="276" w:lineRule="auto"/>
              <w:jc w:val="both"/>
              <w:rPr>
                <w:rFonts w:ascii="Times New Roman" w:hAnsi="Times New Roman" w:cs="Times New Roman"/>
                <w:b w:val="0"/>
                <w:sz w:val="24"/>
                <w:szCs w:val="24"/>
              </w:rPr>
            </w:pPr>
            <w:proofErr w:type="spellStart"/>
            <w:r w:rsidRPr="004633A1">
              <w:rPr>
                <w:rFonts w:ascii="Times New Roman" w:hAnsi="Times New Roman" w:cs="Times New Roman"/>
                <w:b w:val="0"/>
                <w:sz w:val="24"/>
                <w:szCs w:val="24"/>
              </w:rPr>
              <w:t>Ventriculomegaly</w:t>
            </w:r>
            <w:proofErr w:type="spellEnd"/>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24 (25.8%)</w:t>
            </w:r>
          </w:p>
        </w:tc>
      </w:tr>
      <w:tr w:rsidR="004633A1" w:rsidRPr="004633A1" w:rsidTr="00751248">
        <w:trPr>
          <w:cnfStyle w:val="000000100000"/>
          <w:jc w:val="center"/>
        </w:trPr>
        <w:tc>
          <w:tcPr>
            <w:cnfStyle w:val="001000000000"/>
            <w:tcW w:w="4362"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Associated SDH</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11 (11.8%)</w:t>
            </w:r>
          </w:p>
        </w:tc>
      </w:tr>
      <w:tr w:rsidR="004633A1" w:rsidRPr="004633A1" w:rsidTr="00751248">
        <w:trPr>
          <w:jc w:val="center"/>
        </w:trPr>
        <w:tc>
          <w:tcPr>
            <w:cnfStyle w:val="001000000000"/>
            <w:tcW w:w="4362"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Multiple intracranial injuries</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47 (50.5%)</w:t>
            </w:r>
          </w:p>
        </w:tc>
      </w:tr>
    </w:tbl>
    <w:p w:rsidR="002D2CD6" w:rsidRDefault="002D2CD6" w:rsidP="002D2CD6">
      <w:pPr>
        <w:jc w:val="center"/>
        <w:rPr>
          <w:rFonts w:ascii="Times New Roman" w:hAnsi="Times New Roman" w:cs="Times New Roman"/>
          <w:bCs/>
          <w:sz w:val="24"/>
          <w:szCs w:val="24"/>
          <w:u w:val="single"/>
        </w:rPr>
      </w:pPr>
    </w:p>
    <w:p w:rsidR="004633A1" w:rsidRPr="002D2CD6" w:rsidRDefault="004633A1" w:rsidP="002D2CD6">
      <w:pPr>
        <w:jc w:val="center"/>
        <w:rPr>
          <w:rFonts w:ascii="Times New Roman" w:hAnsi="Times New Roman" w:cs="Times New Roman"/>
          <w:bCs/>
          <w:sz w:val="24"/>
          <w:szCs w:val="24"/>
          <w:u w:val="single"/>
        </w:rPr>
      </w:pPr>
      <w:proofErr w:type="gramStart"/>
      <w:r w:rsidRPr="002D2CD6">
        <w:rPr>
          <w:rFonts w:ascii="Times New Roman" w:hAnsi="Times New Roman" w:cs="Times New Roman"/>
          <w:bCs/>
          <w:sz w:val="24"/>
          <w:szCs w:val="24"/>
          <w:u w:val="single"/>
        </w:rPr>
        <w:t>Table 3.</w:t>
      </w:r>
      <w:proofErr w:type="gramEnd"/>
      <w:r w:rsidRPr="002D2CD6">
        <w:rPr>
          <w:rFonts w:ascii="Times New Roman" w:hAnsi="Times New Roman" w:cs="Times New Roman"/>
          <w:bCs/>
          <w:sz w:val="24"/>
          <w:szCs w:val="24"/>
          <w:u w:val="single"/>
        </w:rPr>
        <w:t xml:space="preserve"> Comparison of survivors and non-survivors</w:t>
      </w:r>
    </w:p>
    <w:tbl>
      <w:tblPr>
        <w:tblStyle w:val="LightShading-Accent1"/>
        <w:tblW w:w="0" w:type="auto"/>
        <w:jc w:val="center"/>
        <w:tblInd w:w="-649" w:type="dxa"/>
        <w:tblLook w:val="04A0"/>
      </w:tblPr>
      <w:tblGrid>
        <w:gridCol w:w="3525"/>
        <w:gridCol w:w="2025"/>
        <w:gridCol w:w="1691"/>
        <w:gridCol w:w="930"/>
      </w:tblGrid>
      <w:tr w:rsidR="004633A1" w:rsidRPr="004633A1" w:rsidTr="002D2CD6">
        <w:trPr>
          <w:cnfStyle w:val="100000000000"/>
          <w:jc w:val="center"/>
        </w:trPr>
        <w:tc>
          <w:tcPr>
            <w:cnfStyle w:val="001000000000"/>
            <w:tcW w:w="3525"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Variable</w:t>
            </w:r>
          </w:p>
        </w:tc>
        <w:tc>
          <w:tcPr>
            <w:tcW w:w="0" w:type="auto"/>
            <w:hideMark/>
          </w:tcPr>
          <w:p w:rsidR="004633A1" w:rsidRPr="004633A1" w:rsidRDefault="004633A1" w:rsidP="004633A1">
            <w:pPr>
              <w:spacing w:after="200" w:line="276" w:lineRule="auto"/>
              <w:jc w:val="both"/>
              <w:cnfStyle w:val="100000000000"/>
              <w:rPr>
                <w:rFonts w:ascii="Times New Roman" w:hAnsi="Times New Roman" w:cs="Times New Roman"/>
                <w:b w:val="0"/>
                <w:sz w:val="24"/>
                <w:szCs w:val="24"/>
              </w:rPr>
            </w:pPr>
            <w:r w:rsidRPr="004633A1">
              <w:rPr>
                <w:rFonts w:ascii="Times New Roman" w:hAnsi="Times New Roman" w:cs="Times New Roman"/>
                <w:b w:val="0"/>
                <w:sz w:val="24"/>
                <w:szCs w:val="24"/>
              </w:rPr>
              <w:t>Discharged (n=23)</w:t>
            </w:r>
          </w:p>
        </w:tc>
        <w:tc>
          <w:tcPr>
            <w:tcW w:w="0" w:type="auto"/>
            <w:hideMark/>
          </w:tcPr>
          <w:p w:rsidR="004633A1" w:rsidRPr="004633A1" w:rsidRDefault="004633A1" w:rsidP="004633A1">
            <w:pPr>
              <w:spacing w:after="200" w:line="276" w:lineRule="auto"/>
              <w:jc w:val="both"/>
              <w:cnfStyle w:val="100000000000"/>
              <w:rPr>
                <w:rFonts w:ascii="Times New Roman" w:hAnsi="Times New Roman" w:cs="Times New Roman"/>
                <w:b w:val="0"/>
                <w:sz w:val="24"/>
                <w:szCs w:val="24"/>
              </w:rPr>
            </w:pPr>
            <w:r w:rsidRPr="004633A1">
              <w:rPr>
                <w:rFonts w:ascii="Times New Roman" w:hAnsi="Times New Roman" w:cs="Times New Roman"/>
                <w:b w:val="0"/>
                <w:sz w:val="24"/>
                <w:szCs w:val="24"/>
              </w:rPr>
              <w:t>Expired (n=70)</w:t>
            </w:r>
          </w:p>
        </w:tc>
        <w:tc>
          <w:tcPr>
            <w:tcW w:w="0" w:type="auto"/>
            <w:hideMark/>
          </w:tcPr>
          <w:p w:rsidR="004633A1" w:rsidRPr="004633A1" w:rsidRDefault="004633A1" w:rsidP="004633A1">
            <w:pPr>
              <w:spacing w:after="200" w:line="276" w:lineRule="auto"/>
              <w:jc w:val="both"/>
              <w:cnfStyle w:val="100000000000"/>
              <w:rPr>
                <w:rFonts w:ascii="Times New Roman" w:hAnsi="Times New Roman" w:cs="Times New Roman"/>
                <w:b w:val="0"/>
                <w:sz w:val="24"/>
                <w:szCs w:val="24"/>
              </w:rPr>
            </w:pPr>
            <w:r w:rsidRPr="004633A1">
              <w:rPr>
                <w:rFonts w:ascii="Times New Roman" w:hAnsi="Times New Roman" w:cs="Times New Roman"/>
                <w:b w:val="0"/>
                <w:sz w:val="24"/>
                <w:szCs w:val="24"/>
              </w:rPr>
              <w:t>P value</w:t>
            </w:r>
          </w:p>
        </w:tc>
      </w:tr>
      <w:tr w:rsidR="004633A1" w:rsidRPr="004633A1" w:rsidTr="002D2CD6">
        <w:trPr>
          <w:cnfStyle w:val="000000100000"/>
          <w:jc w:val="center"/>
        </w:trPr>
        <w:tc>
          <w:tcPr>
            <w:cnfStyle w:val="001000000000"/>
            <w:tcW w:w="3525"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Age (years)</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69.1 ± 6.3</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69.3 ± 6.6</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0.94</w:t>
            </w:r>
          </w:p>
        </w:tc>
      </w:tr>
      <w:tr w:rsidR="004633A1" w:rsidRPr="004633A1" w:rsidTr="002D2CD6">
        <w:trPr>
          <w:jc w:val="center"/>
        </w:trPr>
        <w:tc>
          <w:tcPr>
            <w:cnfStyle w:val="001000000000"/>
            <w:tcW w:w="3525"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Male sex</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16 (69.6%)</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51 (72.9%)</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0.76</w:t>
            </w:r>
          </w:p>
        </w:tc>
      </w:tr>
      <w:tr w:rsidR="004633A1" w:rsidRPr="004633A1" w:rsidTr="002D2CD6">
        <w:trPr>
          <w:cnfStyle w:val="000000100000"/>
          <w:jc w:val="center"/>
        </w:trPr>
        <w:tc>
          <w:tcPr>
            <w:cnfStyle w:val="001000000000"/>
            <w:tcW w:w="3525"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Admission GCS</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8 (6–10)</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7 (5–9)</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0.47</w:t>
            </w:r>
          </w:p>
        </w:tc>
      </w:tr>
      <w:tr w:rsidR="004633A1" w:rsidRPr="004633A1" w:rsidTr="002D2CD6">
        <w:trPr>
          <w:jc w:val="center"/>
        </w:trPr>
        <w:tc>
          <w:tcPr>
            <w:cnfStyle w:val="001000000000"/>
            <w:tcW w:w="3525"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Severe TBI</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11 (47.8%)</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45 (64.3%)</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0.17</w:t>
            </w:r>
          </w:p>
        </w:tc>
      </w:tr>
      <w:tr w:rsidR="004633A1" w:rsidRPr="004633A1" w:rsidTr="002D2CD6">
        <w:trPr>
          <w:cnfStyle w:val="000000100000"/>
          <w:jc w:val="center"/>
        </w:trPr>
        <w:tc>
          <w:tcPr>
            <w:cnfStyle w:val="001000000000"/>
            <w:tcW w:w="3525"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SAH</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8 (34.8%)</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46 (65.7%)</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bCs/>
                <w:sz w:val="24"/>
                <w:szCs w:val="24"/>
              </w:rPr>
              <w:t>0.007</w:t>
            </w:r>
          </w:p>
        </w:tc>
      </w:tr>
      <w:tr w:rsidR="004633A1" w:rsidRPr="004633A1" w:rsidTr="002D2CD6">
        <w:trPr>
          <w:jc w:val="center"/>
        </w:trPr>
        <w:tc>
          <w:tcPr>
            <w:cnfStyle w:val="001000000000"/>
            <w:tcW w:w="3525"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Brainstem contusion</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1 (4.3%)</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15 (21.4%)</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bCs/>
                <w:sz w:val="24"/>
                <w:szCs w:val="24"/>
              </w:rPr>
              <w:t>0.040</w:t>
            </w:r>
          </w:p>
        </w:tc>
      </w:tr>
      <w:tr w:rsidR="004633A1" w:rsidRPr="004633A1" w:rsidTr="002D2CD6">
        <w:trPr>
          <w:cnfStyle w:val="000000100000"/>
          <w:jc w:val="center"/>
        </w:trPr>
        <w:tc>
          <w:tcPr>
            <w:cnfStyle w:val="001000000000"/>
            <w:tcW w:w="3525"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Deep gray matter contusion</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2 (8.7%)</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16 (22.9%)</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0.12</w:t>
            </w:r>
          </w:p>
        </w:tc>
      </w:tr>
      <w:tr w:rsidR="004633A1" w:rsidRPr="004633A1" w:rsidTr="002D2CD6">
        <w:trPr>
          <w:jc w:val="center"/>
        </w:trPr>
        <w:tc>
          <w:tcPr>
            <w:cnfStyle w:val="001000000000"/>
            <w:tcW w:w="3525"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Cerebral infarction</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1 (4.3%)</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13 (18.6%)</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bCs/>
                <w:sz w:val="24"/>
                <w:szCs w:val="24"/>
              </w:rPr>
              <w:t>0.050</w:t>
            </w:r>
          </w:p>
        </w:tc>
      </w:tr>
      <w:tr w:rsidR="004633A1" w:rsidRPr="004633A1" w:rsidTr="002D2CD6">
        <w:trPr>
          <w:cnfStyle w:val="000000100000"/>
          <w:jc w:val="center"/>
        </w:trPr>
        <w:tc>
          <w:tcPr>
            <w:cnfStyle w:val="001000000000"/>
            <w:tcW w:w="3525"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Midline shift &gt;5 mm</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5 (21.7%)</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24 (34.3%)</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0.26</w:t>
            </w:r>
          </w:p>
        </w:tc>
      </w:tr>
      <w:tr w:rsidR="004633A1" w:rsidRPr="004633A1" w:rsidTr="002D2CD6">
        <w:trPr>
          <w:jc w:val="center"/>
        </w:trPr>
        <w:tc>
          <w:tcPr>
            <w:cnfStyle w:val="001000000000"/>
            <w:tcW w:w="3525" w:type="dxa"/>
            <w:hideMark/>
          </w:tcPr>
          <w:p w:rsidR="004633A1" w:rsidRPr="004633A1" w:rsidRDefault="004633A1" w:rsidP="004633A1">
            <w:pPr>
              <w:spacing w:after="200" w:line="276" w:lineRule="auto"/>
              <w:jc w:val="both"/>
              <w:rPr>
                <w:rFonts w:ascii="Times New Roman" w:hAnsi="Times New Roman" w:cs="Times New Roman"/>
                <w:b w:val="0"/>
                <w:sz w:val="24"/>
                <w:szCs w:val="24"/>
              </w:rPr>
            </w:pPr>
            <w:proofErr w:type="spellStart"/>
            <w:r w:rsidRPr="004633A1">
              <w:rPr>
                <w:rFonts w:ascii="Times New Roman" w:hAnsi="Times New Roman" w:cs="Times New Roman"/>
                <w:b w:val="0"/>
                <w:sz w:val="24"/>
                <w:szCs w:val="24"/>
              </w:rPr>
              <w:t>Ventriculomegaly</w:t>
            </w:r>
            <w:proofErr w:type="spellEnd"/>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4 (17.4%)</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20 (28.6%)</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0.29</w:t>
            </w:r>
          </w:p>
        </w:tc>
      </w:tr>
      <w:tr w:rsidR="004633A1" w:rsidRPr="004633A1" w:rsidTr="002D2CD6">
        <w:trPr>
          <w:cnfStyle w:val="000000100000"/>
          <w:jc w:val="center"/>
        </w:trPr>
        <w:tc>
          <w:tcPr>
            <w:cnfStyle w:val="001000000000"/>
            <w:tcW w:w="3525"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Associated SDH</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1 (4.3%)</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10 (14.3%)</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bCs/>
                <w:sz w:val="24"/>
                <w:szCs w:val="24"/>
              </w:rPr>
              <w:t>0.017</w:t>
            </w:r>
          </w:p>
        </w:tc>
      </w:tr>
      <w:tr w:rsidR="004633A1" w:rsidRPr="004633A1" w:rsidTr="002D2CD6">
        <w:trPr>
          <w:jc w:val="center"/>
        </w:trPr>
        <w:tc>
          <w:tcPr>
            <w:cnfStyle w:val="001000000000"/>
            <w:tcW w:w="3525"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lastRenderedPageBreak/>
              <w:t>Surgical treatment</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6 (26.1%)</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16 (22.9%)</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0.75</w:t>
            </w:r>
          </w:p>
        </w:tc>
      </w:tr>
    </w:tbl>
    <w:p w:rsidR="002D2CD6" w:rsidRDefault="002D2CD6" w:rsidP="004633A1">
      <w:pPr>
        <w:jc w:val="both"/>
        <w:rPr>
          <w:rFonts w:ascii="Times New Roman" w:hAnsi="Times New Roman" w:cs="Times New Roman"/>
          <w:bCs/>
          <w:sz w:val="24"/>
          <w:szCs w:val="24"/>
        </w:rPr>
      </w:pPr>
    </w:p>
    <w:p w:rsidR="004633A1" w:rsidRPr="002D2CD6" w:rsidRDefault="004633A1" w:rsidP="002D2CD6">
      <w:pPr>
        <w:jc w:val="center"/>
        <w:rPr>
          <w:rFonts w:ascii="Times New Roman" w:hAnsi="Times New Roman" w:cs="Times New Roman"/>
          <w:bCs/>
          <w:sz w:val="24"/>
          <w:szCs w:val="24"/>
          <w:u w:val="single"/>
        </w:rPr>
      </w:pPr>
      <w:proofErr w:type="gramStart"/>
      <w:r w:rsidRPr="002D2CD6">
        <w:rPr>
          <w:rFonts w:ascii="Times New Roman" w:hAnsi="Times New Roman" w:cs="Times New Roman"/>
          <w:bCs/>
          <w:sz w:val="24"/>
          <w:szCs w:val="24"/>
          <w:u w:val="single"/>
        </w:rPr>
        <w:t>Table 4.</w:t>
      </w:r>
      <w:proofErr w:type="gramEnd"/>
      <w:r w:rsidRPr="002D2CD6">
        <w:rPr>
          <w:rFonts w:ascii="Times New Roman" w:hAnsi="Times New Roman" w:cs="Times New Roman"/>
          <w:bCs/>
          <w:sz w:val="24"/>
          <w:szCs w:val="24"/>
          <w:u w:val="single"/>
        </w:rPr>
        <w:t xml:space="preserve"> </w:t>
      </w:r>
      <w:proofErr w:type="spellStart"/>
      <w:r w:rsidRPr="002D2CD6">
        <w:rPr>
          <w:rFonts w:ascii="Times New Roman" w:hAnsi="Times New Roman" w:cs="Times New Roman"/>
          <w:bCs/>
          <w:sz w:val="24"/>
          <w:szCs w:val="24"/>
          <w:u w:val="single"/>
        </w:rPr>
        <w:t>Univariate</w:t>
      </w:r>
      <w:proofErr w:type="spellEnd"/>
      <w:r w:rsidRPr="002D2CD6">
        <w:rPr>
          <w:rFonts w:ascii="Times New Roman" w:hAnsi="Times New Roman" w:cs="Times New Roman"/>
          <w:bCs/>
          <w:sz w:val="24"/>
          <w:szCs w:val="24"/>
          <w:u w:val="single"/>
        </w:rPr>
        <w:t xml:space="preserve"> logistic regression for mortality</w:t>
      </w:r>
    </w:p>
    <w:tbl>
      <w:tblPr>
        <w:tblStyle w:val="LightShading-Accent1"/>
        <w:tblW w:w="0" w:type="auto"/>
        <w:jc w:val="center"/>
        <w:tblInd w:w="-361" w:type="dxa"/>
        <w:tblLook w:val="04A0"/>
      </w:tblPr>
      <w:tblGrid>
        <w:gridCol w:w="3237"/>
        <w:gridCol w:w="756"/>
        <w:gridCol w:w="1296"/>
        <w:gridCol w:w="1291"/>
      </w:tblGrid>
      <w:tr w:rsidR="004633A1" w:rsidRPr="004633A1" w:rsidTr="002D2CD6">
        <w:trPr>
          <w:cnfStyle w:val="100000000000"/>
          <w:jc w:val="center"/>
        </w:trPr>
        <w:tc>
          <w:tcPr>
            <w:cnfStyle w:val="001000000000"/>
            <w:tcW w:w="3237"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Predictor</w:t>
            </w:r>
          </w:p>
        </w:tc>
        <w:tc>
          <w:tcPr>
            <w:tcW w:w="0" w:type="auto"/>
            <w:hideMark/>
          </w:tcPr>
          <w:p w:rsidR="004633A1" w:rsidRPr="004633A1" w:rsidRDefault="004633A1" w:rsidP="004633A1">
            <w:pPr>
              <w:spacing w:after="200" w:line="276" w:lineRule="auto"/>
              <w:jc w:val="both"/>
              <w:cnfStyle w:val="100000000000"/>
              <w:rPr>
                <w:rFonts w:ascii="Times New Roman" w:hAnsi="Times New Roman" w:cs="Times New Roman"/>
                <w:b w:val="0"/>
                <w:sz w:val="24"/>
                <w:szCs w:val="24"/>
              </w:rPr>
            </w:pPr>
            <w:r w:rsidRPr="004633A1">
              <w:rPr>
                <w:rFonts w:ascii="Times New Roman" w:hAnsi="Times New Roman" w:cs="Times New Roman"/>
                <w:b w:val="0"/>
                <w:sz w:val="24"/>
                <w:szCs w:val="24"/>
              </w:rPr>
              <w:t>OR</w:t>
            </w:r>
          </w:p>
        </w:tc>
        <w:tc>
          <w:tcPr>
            <w:tcW w:w="0" w:type="auto"/>
            <w:hideMark/>
          </w:tcPr>
          <w:p w:rsidR="004633A1" w:rsidRPr="004633A1" w:rsidRDefault="004633A1" w:rsidP="004633A1">
            <w:pPr>
              <w:spacing w:after="200" w:line="276" w:lineRule="auto"/>
              <w:jc w:val="both"/>
              <w:cnfStyle w:val="100000000000"/>
              <w:rPr>
                <w:rFonts w:ascii="Times New Roman" w:hAnsi="Times New Roman" w:cs="Times New Roman"/>
                <w:b w:val="0"/>
                <w:sz w:val="24"/>
                <w:szCs w:val="24"/>
              </w:rPr>
            </w:pPr>
            <w:r w:rsidRPr="004633A1">
              <w:rPr>
                <w:rFonts w:ascii="Times New Roman" w:hAnsi="Times New Roman" w:cs="Times New Roman"/>
                <w:b w:val="0"/>
                <w:sz w:val="24"/>
                <w:szCs w:val="24"/>
              </w:rPr>
              <w:t>95% CI</w:t>
            </w:r>
          </w:p>
        </w:tc>
        <w:tc>
          <w:tcPr>
            <w:tcW w:w="1291" w:type="dxa"/>
            <w:hideMark/>
          </w:tcPr>
          <w:p w:rsidR="004633A1" w:rsidRPr="004633A1" w:rsidRDefault="004633A1" w:rsidP="004633A1">
            <w:pPr>
              <w:spacing w:after="200" w:line="276" w:lineRule="auto"/>
              <w:jc w:val="both"/>
              <w:cnfStyle w:val="100000000000"/>
              <w:rPr>
                <w:rFonts w:ascii="Times New Roman" w:hAnsi="Times New Roman" w:cs="Times New Roman"/>
                <w:b w:val="0"/>
                <w:sz w:val="24"/>
                <w:szCs w:val="24"/>
              </w:rPr>
            </w:pPr>
            <w:r w:rsidRPr="004633A1">
              <w:rPr>
                <w:rFonts w:ascii="Times New Roman" w:hAnsi="Times New Roman" w:cs="Times New Roman"/>
                <w:b w:val="0"/>
                <w:sz w:val="24"/>
                <w:szCs w:val="24"/>
              </w:rPr>
              <w:t>P value</w:t>
            </w:r>
          </w:p>
        </w:tc>
      </w:tr>
      <w:tr w:rsidR="004633A1" w:rsidRPr="004633A1" w:rsidTr="002D2CD6">
        <w:trPr>
          <w:cnfStyle w:val="000000100000"/>
          <w:jc w:val="center"/>
        </w:trPr>
        <w:tc>
          <w:tcPr>
            <w:cnfStyle w:val="001000000000"/>
            <w:tcW w:w="3237"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Age</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1.00</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0.93–1.08</w:t>
            </w:r>
          </w:p>
        </w:tc>
        <w:tc>
          <w:tcPr>
            <w:tcW w:w="1291" w:type="dxa"/>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0.94</w:t>
            </w:r>
          </w:p>
        </w:tc>
      </w:tr>
      <w:tr w:rsidR="004633A1" w:rsidRPr="004633A1" w:rsidTr="002D2CD6">
        <w:trPr>
          <w:jc w:val="center"/>
        </w:trPr>
        <w:tc>
          <w:tcPr>
            <w:cnfStyle w:val="001000000000"/>
            <w:tcW w:w="3237"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Male sex</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1.18</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0.47–2.94</w:t>
            </w:r>
          </w:p>
        </w:tc>
        <w:tc>
          <w:tcPr>
            <w:tcW w:w="1291" w:type="dxa"/>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0.76</w:t>
            </w:r>
          </w:p>
        </w:tc>
      </w:tr>
      <w:tr w:rsidR="004633A1" w:rsidRPr="004633A1" w:rsidTr="002D2CD6">
        <w:trPr>
          <w:cnfStyle w:val="000000100000"/>
          <w:jc w:val="center"/>
        </w:trPr>
        <w:tc>
          <w:tcPr>
            <w:cnfStyle w:val="001000000000"/>
            <w:tcW w:w="3237"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Severe TBI</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1.97</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0.76–5.10</w:t>
            </w:r>
          </w:p>
        </w:tc>
        <w:tc>
          <w:tcPr>
            <w:tcW w:w="1291" w:type="dxa"/>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0.16</w:t>
            </w:r>
          </w:p>
        </w:tc>
      </w:tr>
      <w:tr w:rsidR="004633A1" w:rsidRPr="004633A1" w:rsidTr="002D2CD6">
        <w:trPr>
          <w:jc w:val="center"/>
        </w:trPr>
        <w:tc>
          <w:tcPr>
            <w:cnfStyle w:val="001000000000"/>
            <w:tcW w:w="3237"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SAH</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bCs/>
                <w:sz w:val="24"/>
                <w:szCs w:val="24"/>
              </w:rPr>
              <w:t>5.95</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1.62–21.84</w:t>
            </w:r>
          </w:p>
        </w:tc>
        <w:tc>
          <w:tcPr>
            <w:tcW w:w="1291" w:type="dxa"/>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bCs/>
                <w:sz w:val="24"/>
                <w:szCs w:val="24"/>
              </w:rPr>
              <w:t>0.007</w:t>
            </w:r>
          </w:p>
        </w:tc>
      </w:tr>
      <w:tr w:rsidR="004633A1" w:rsidRPr="004633A1" w:rsidTr="002D2CD6">
        <w:trPr>
          <w:cnfStyle w:val="000000100000"/>
          <w:jc w:val="center"/>
        </w:trPr>
        <w:tc>
          <w:tcPr>
            <w:cnfStyle w:val="001000000000"/>
            <w:tcW w:w="3237"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Brainstem contusion</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bCs/>
                <w:sz w:val="24"/>
                <w:szCs w:val="24"/>
              </w:rPr>
              <w:t>3.94</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1.07–14.55</w:t>
            </w:r>
          </w:p>
        </w:tc>
        <w:tc>
          <w:tcPr>
            <w:tcW w:w="1291" w:type="dxa"/>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bCs/>
                <w:sz w:val="24"/>
                <w:szCs w:val="24"/>
              </w:rPr>
              <w:t>0.040</w:t>
            </w:r>
          </w:p>
        </w:tc>
      </w:tr>
      <w:tr w:rsidR="004633A1" w:rsidRPr="004633A1" w:rsidTr="002D2CD6">
        <w:trPr>
          <w:jc w:val="center"/>
        </w:trPr>
        <w:tc>
          <w:tcPr>
            <w:cnfStyle w:val="001000000000"/>
            <w:tcW w:w="3237"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Deep gray matter contusion</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3.11</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0.67–14.37</w:t>
            </w:r>
          </w:p>
        </w:tc>
        <w:tc>
          <w:tcPr>
            <w:tcW w:w="1291" w:type="dxa"/>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0.14</w:t>
            </w:r>
          </w:p>
        </w:tc>
      </w:tr>
      <w:tr w:rsidR="004633A1" w:rsidRPr="004633A1" w:rsidTr="002D2CD6">
        <w:trPr>
          <w:cnfStyle w:val="000000100000"/>
          <w:jc w:val="center"/>
        </w:trPr>
        <w:tc>
          <w:tcPr>
            <w:cnfStyle w:val="001000000000"/>
            <w:tcW w:w="3237"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Cerebral infarction</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bCs/>
                <w:sz w:val="24"/>
                <w:szCs w:val="24"/>
              </w:rPr>
              <w:t>3.70</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1.00–13.70</w:t>
            </w:r>
          </w:p>
        </w:tc>
        <w:tc>
          <w:tcPr>
            <w:tcW w:w="1291" w:type="dxa"/>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bCs/>
                <w:sz w:val="24"/>
                <w:szCs w:val="24"/>
              </w:rPr>
              <w:t>0.050</w:t>
            </w:r>
          </w:p>
        </w:tc>
      </w:tr>
      <w:tr w:rsidR="004633A1" w:rsidRPr="004633A1" w:rsidTr="002D2CD6">
        <w:trPr>
          <w:jc w:val="center"/>
        </w:trPr>
        <w:tc>
          <w:tcPr>
            <w:cnfStyle w:val="001000000000"/>
            <w:tcW w:w="3237"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Midline shift &gt;5 mm</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1.89</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0.63–5.66</w:t>
            </w:r>
          </w:p>
        </w:tc>
        <w:tc>
          <w:tcPr>
            <w:tcW w:w="1291" w:type="dxa"/>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0.26</w:t>
            </w:r>
          </w:p>
        </w:tc>
      </w:tr>
      <w:tr w:rsidR="004633A1" w:rsidRPr="004633A1" w:rsidTr="002D2CD6">
        <w:trPr>
          <w:cnfStyle w:val="000000100000"/>
          <w:jc w:val="center"/>
        </w:trPr>
        <w:tc>
          <w:tcPr>
            <w:cnfStyle w:val="001000000000"/>
            <w:tcW w:w="3237" w:type="dxa"/>
            <w:hideMark/>
          </w:tcPr>
          <w:p w:rsidR="004633A1" w:rsidRPr="004633A1" w:rsidRDefault="004633A1" w:rsidP="004633A1">
            <w:pPr>
              <w:spacing w:after="200" w:line="276" w:lineRule="auto"/>
              <w:jc w:val="both"/>
              <w:rPr>
                <w:rFonts w:ascii="Times New Roman" w:hAnsi="Times New Roman" w:cs="Times New Roman"/>
                <w:b w:val="0"/>
                <w:sz w:val="24"/>
                <w:szCs w:val="24"/>
              </w:rPr>
            </w:pPr>
            <w:proofErr w:type="spellStart"/>
            <w:r w:rsidRPr="004633A1">
              <w:rPr>
                <w:rFonts w:ascii="Times New Roman" w:hAnsi="Times New Roman" w:cs="Times New Roman"/>
                <w:b w:val="0"/>
                <w:sz w:val="24"/>
                <w:szCs w:val="24"/>
              </w:rPr>
              <w:t>Ventriculomegaly</w:t>
            </w:r>
            <w:proofErr w:type="spellEnd"/>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1.90</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0.60–6.05</w:t>
            </w:r>
          </w:p>
        </w:tc>
        <w:tc>
          <w:tcPr>
            <w:tcW w:w="1291" w:type="dxa"/>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0.28</w:t>
            </w:r>
          </w:p>
        </w:tc>
      </w:tr>
      <w:tr w:rsidR="004633A1" w:rsidRPr="004633A1" w:rsidTr="002D2CD6">
        <w:trPr>
          <w:jc w:val="center"/>
        </w:trPr>
        <w:tc>
          <w:tcPr>
            <w:cnfStyle w:val="001000000000"/>
            <w:tcW w:w="3237"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Associated SDH</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bCs/>
                <w:sz w:val="24"/>
                <w:szCs w:val="24"/>
              </w:rPr>
              <w:t>12.22</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1.55–96.17</w:t>
            </w:r>
          </w:p>
        </w:tc>
        <w:tc>
          <w:tcPr>
            <w:tcW w:w="1291" w:type="dxa"/>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bCs/>
                <w:sz w:val="24"/>
                <w:szCs w:val="24"/>
              </w:rPr>
              <w:t>0.017</w:t>
            </w:r>
          </w:p>
        </w:tc>
      </w:tr>
    </w:tbl>
    <w:p w:rsidR="002D2CD6" w:rsidRDefault="002D2CD6" w:rsidP="002D2CD6">
      <w:pPr>
        <w:jc w:val="center"/>
        <w:rPr>
          <w:rFonts w:ascii="Times New Roman" w:hAnsi="Times New Roman" w:cs="Times New Roman"/>
          <w:bCs/>
          <w:sz w:val="24"/>
          <w:szCs w:val="24"/>
          <w:u w:val="single"/>
        </w:rPr>
      </w:pPr>
    </w:p>
    <w:p w:rsidR="004633A1" w:rsidRPr="002D2CD6" w:rsidRDefault="004633A1" w:rsidP="002D2CD6">
      <w:pPr>
        <w:jc w:val="center"/>
        <w:rPr>
          <w:rFonts w:ascii="Times New Roman" w:hAnsi="Times New Roman" w:cs="Times New Roman"/>
          <w:bCs/>
          <w:sz w:val="24"/>
          <w:szCs w:val="24"/>
          <w:u w:val="single"/>
        </w:rPr>
      </w:pPr>
      <w:proofErr w:type="gramStart"/>
      <w:r w:rsidRPr="002D2CD6">
        <w:rPr>
          <w:rFonts w:ascii="Times New Roman" w:hAnsi="Times New Roman" w:cs="Times New Roman"/>
          <w:bCs/>
          <w:sz w:val="24"/>
          <w:szCs w:val="24"/>
          <w:u w:val="single"/>
        </w:rPr>
        <w:t>Table 5.</w:t>
      </w:r>
      <w:proofErr w:type="gramEnd"/>
      <w:r w:rsidRPr="002D2CD6">
        <w:rPr>
          <w:rFonts w:ascii="Times New Roman" w:hAnsi="Times New Roman" w:cs="Times New Roman"/>
          <w:bCs/>
          <w:sz w:val="24"/>
          <w:szCs w:val="24"/>
          <w:u w:val="single"/>
        </w:rPr>
        <w:t xml:space="preserve"> Multivariable logistic regression</w:t>
      </w:r>
    </w:p>
    <w:tbl>
      <w:tblPr>
        <w:tblStyle w:val="LightShading-Accent1"/>
        <w:tblW w:w="0" w:type="auto"/>
        <w:jc w:val="center"/>
        <w:tblInd w:w="-651" w:type="dxa"/>
        <w:tblLook w:val="04A0"/>
      </w:tblPr>
      <w:tblGrid>
        <w:gridCol w:w="2847"/>
        <w:gridCol w:w="1476"/>
        <w:gridCol w:w="1296"/>
        <w:gridCol w:w="1076"/>
      </w:tblGrid>
      <w:tr w:rsidR="004633A1" w:rsidRPr="004633A1" w:rsidTr="002D2CD6">
        <w:trPr>
          <w:cnfStyle w:val="100000000000"/>
          <w:jc w:val="center"/>
        </w:trPr>
        <w:tc>
          <w:tcPr>
            <w:cnfStyle w:val="001000000000"/>
            <w:tcW w:w="2847"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Predictor</w:t>
            </w:r>
          </w:p>
        </w:tc>
        <w:tc>
          <w:tcPr>
            <w:tcW w:w="0" w:type="auto"/>
            <w:hideMark/>
          </w:tcPr>
          <w:p w:rsidR="004633A1" w:rsidRPr="004633A1" w:rsidRDefault="004633A1" w:rsidP="004633A1">
            <w:pPr>
              <w:spacing w:after="200" w:line="276" w:lineRule="auto"/>
              <w:jc w:val="both"/>
              <w:cnfStyle w:val="100000000000"/>
              <w:rPr>
                <w:rFonts w:ascii="Times New Roman" w:hAnsi="Times New Roman" w:cs="Times New Roman"/>
                <w:b w:val="0"/>
                <w:sz w:val="24"/>
                <w:szCs w:val="24"/>
              </w:rPr>
            </w:pPr>
            <w:r w:rsidRPr="004633A1">
              <w:rPr>
                <w:rFonts w:ascii="Times New Roman" w:hAnsi="Times New Roman" w:cs="Times New Roman"/>
                <w:b w:val="0"/>
                <w:sz w:val="24"/>
                <w:szCs w:val="24"/>
              </w:rPr>
              <w:t>Adjusted OR</w:t>
            </w:r>
          </w:p>
        </w:tc>
        <w:tc>
          <w:tcPr>
            <w:tcW w:w="0" w:type="auto"/>
            <w:hideMark/>
          </w:tcPr>
          <w:p w:rsidR="004633A1" w:rsidRPr="004633A1" w:rsidRDefault="004633A1" w:rsidP="004633A1">
            <w:pPr>
              <w:spacing w:after="200" w:line="276" w:lineRule="auto"/>
              <w:jc w:val="both"/>
              <w:cnfStyle w:val="100000000000"/>
              <w:rPr>
                <w:rFonts w:ascii="Times New Roman" w:hAnsi="Times New Roman" w:cs="Times New Roman"/>
                <w:b w:val="0"/>
                <w:sz w:val="24"/>
                <w:szCs w:val="24"/>
              </w:rPr>
            </w:pPr>
            <w:r w:rsidRPr="004633A1">
              <w:rPr>
                <w:rFonts w:ascii="Times New Roman" w:hAnsi="Times New Roman" w:cs="Times New Roman"/>
                <w:b w:val="0"/>
                <w:sz w:val="24"/>
                <w:szCs w:val="24"/>
              </w:rPr>
              <w:t>95% CI</w:t>
            </w:r>
          </w:p>
        </w:tc>
        <w:tc>
          <w:tcPr>
            <w:tcW w:w="1076" w:type="dxa"/>
            <w:hideMark/>
          </w:tcPr>
          <w:p w:rsidR="004633A1" w:rsidRPr="004633A1" w:rsidRDefault="004633A1" w:rsidP="004633A1">
            <w:pPr>
              <w:spacing w:after="200" w:line="276" w:lineRule="auto"/>
              <w:jc w:val="both"/>
              <w:cnfStyle w:val="100000000000"/>
              <w:rPr>
                <w:rFonts w:ascii="Times New Roman" w:hAnsi="Times New Roman" w:cs="Times New Roman"/>
                <w:b w:val="0"/>
                <w:sz w:val="24"/>
                <w:szCs w:val="24"/>
              </w:rPr>
            </w:pPr>
            <w:r w:rsidRPr="004633A1">
              <w:rPr>
                <w:rFonts w:ascii="Times New Roman" w:hAnsi="Times New Roman" w:cs="Times New Roman"/>
                <w:b w:val="0"/>
                <w:sz w:val="24"/>
                <w:szCs w:val="24"/>
              </w:rPr>
              <w:t>P value</w:t>
            </w:r>
          </w:p>
        </w:tc>
      </w:tr>
      <w:tr w:rsidR="004633A1" w:rsidRPr="004633A1" w:rsidTr="002D2CD6">
        <w:trPr>
          <w:cnfStyle w:val="000000100000"/>
          <w:jc w:val="center"/>
        </w:trPr>
        <w:tc>
          <w:tcPr>
            <w:cnfStyle w:val="001000000000"/>
            <w:tcW w:w="2847"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Associated SDH</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bCs/>
                <w:sz w:val="24"/>
                <w:szCs w:val="24"/>
              </w:rPr>
              <w:t>9.62</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1.17–79.20</w:t>
            </w:r>
          </w:p>
        </w:tc>
        <w:tc>
          <w:tcPr>
            <w:tcW w:w="1076" w:type="dxa"/>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bCs/>
                <w:sz w:val="24"/>
                <w:szCs w:val="24"/>
              </w:rPr>
              <w:t>0.037</w:t>
            </w:r>
          </w:p>
        </w:tc>
      </w:tr>
      <w:tr w:rsidR="004633A1" w:rsidRPr="004633A1" w:rsidTr="002D2CD6">
        <w:trPr>
          <w:jc w:val="center"/>
        </w:trPr>
        <w:tc>
          <w:tcPr>
            <w:cnfStyle w:val="001000000000"/>
            <w:tcW w:w="2847"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Associated SAH</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bCs/>
                <w:sz w:val="24"/>
                <w:szCs w:val="24"/>
              </w:rPr>
              <w:t>5.59</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1.43–21.86</w:t>
            </w:r>
          </w:p>
        </w:tc>
        <w:tc>
          <w:tcPr>
            <w:tcW w:w="1076" w:type="dxa"/>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bCs/>
                <w:sz w:val="24"/>
                <w:szCs w:val="24"/>
              </w:rPr>
              <w:t>0.014</w:t>
            </w:r>
          </w:p>
        </w:tc>
      </w:tr>
      <w:tr w:rsidR="004633A1" w:rsidRPr="004633A1" w:rsidTr="002D2CD6">
        <w:trPr>
          <w:cnfStyle w:val="000000100000"/>
          <w:jc w:val="center"/>
        </w:trPr>
        <w:tc>
          <w:tcPr>
            <w:cnfStyle w:val="001000000000"/>
            <w:tcW w:w="2847"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Brainstem contusion</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2.71</w:t>
            </w:r>
          </w:p>
        </w:tc>
        <w:tc>
          <w:tcPr>
            <w:tcW w:w="0" w:type="auto"/>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0.61–12.08</w:t>
            </w:r>
          </w:p>
        </w:tc>
        <w:tc>
          <w:tcPr>
            <w:tcW w:w="1076" w:type="dxa"/>
            <w:hideMark/>
          </w:tcPr>
          <w:p w:rsidR="004633A1" w:rsidRPr="004633A1" w:rsidRDefault="004633A1" w:rsidP="004633A1">
            <w:pPr>
              <w:spacing w:after="200" w:line="276" w:lineRule="auto"/>
              <w:jc w:val="both"/>
              <w:cnfStyle w:val="000000100000"/>
              <w:rPr>
                <w:rFonts w:ascii="Times New Roman" w:hAnsi="Times New Roman" w:cs="Times New Roman"/>
                <w:sz w:val="24"/>
                <w:szCs w:val="24"/>
              </w:rPr>
            </w:pPr>
            <w:r w:rsidRPr="004633A1">
              <w:rPr>
                <w:rFonts w:ascii="Times New Roman" w:hAnsi="Times New Roman" w:cs="Times New Roman"/>
                <w:sz w:val="24"/>
                <w:szCs w:val="24"/>
              </w:rPr>
              <w:t>0.19</w:t>
            </w:r>
          </w:p>
        </w:tc>
      </w:tr>
      <w:tr w:rsidR="004633A1" w:rsidRPr="004633A1" w:rsidTr="002D2CD6">
        <w:trPr>
          <w:jc w:val="center"/>
        </w:trPr>
        <w:tc>
          <w:tcPr>
            <w:cnfStyle w:val="001000000000"/>
            <w:tcW w:w="2847" w:type="dxa"/>
            <w:hideMark/>
          </w:tcPr>
          <w:p w:rsidR="004633A1" w:rsidRPr="004633A1" w:rsidRDefault="004633A1" w:rsidP="004633A1">
            <w:pPr>
              <w:spacing w:after="200" w:line="276" w:lineRule="auto"/>
              <w:jc w:val="both"/>
              <w:rPr>
                <w:rFonts w:ascii="Times New Roman" w:hAnsi="Times New Roman" w:cs="Times New Roman"/>
                <w:b w:val="0"/>
                <w:sz w:val="24"/>
                <w:szCs w:val="24"/>
              </w:rPr>
            </w:pPr>
            <w:r w:rsidRPr="004633A1">
              <w:rPr>
                <w:rFonts w:ascii="Times New Roman" w:hAnsi="Times New Roman" w:cs="Times New Roman"/>
                <w:b w:val="0"/>
                <w:sz w:val="24"/>
                <w:szCs w:val="24"/>
              </w:rPr>
              <w:t>Cerebral infarction</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2.42</w:t>
            </w:r>
          </w:p>
        </w:tc>
        <w:tc>
          <w:tcPr>
            <w:tcW w:w="0" w:type="auto"/>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0.53–11.13</w:t>
            </w:r>
          </w:p>
        </w:tc>
        <w:tc>
          <w:tcPr>
            <w:tcW w:w="1076" w:type="dxa"/>
            <w:hideMark/>
          </w:tcPr>
          <w:p w:rsidR="004633A1" w:rsidRPr="004633A1" w:rsidRDefault="004633A1" w:rsidP="004633A1">
            <w:pPr>
              <w:spacing w:after="200" w:line="276" w:lineRule="auto"/>
              <w:jc w:val="both"/>
              <w:cnfStyle w:val="000000000000"/>
              <w:rPr>
                <w:rFonts w:ascii="Times New Roman" w:hAnsi="Times New Roman" w:cs="Times New Roman"/>
                <w:sz w:val="24"/>
                <w:szCs w:val="24"/>
              </w:rPr>
            </w:pPr>
            <w:r w:rsidRPr="004633A1">
              <w:rPr>
                <w:rFonts w:ascii="Times New Roman" w:hAnsi="Times New Roman" w:cs="Times New Roman"/>
                <w:sz w:val="24"/>
                <w:szCs w:val="24"/>
              </w:rPr>
              <w:t>0.26</w:t>
            </w:r>
          </w:p>
        </w:tc>
      </w:tr>
    </w:tbl>
    <w:p w:rsidR="002D2CD6" w:rsidRDefault="002D2CD6" w:rsidP="004633A1">
      <w:pPr>
        <w:jc w:val="both"/>
        <w:rPr>
          <w:rFonts w:ascii="Times New Roman" w:hAnsi="Times New Roman" w:cs="Times New Roman"/>
          <w:sz w:val="24"/>
          <w:szCs w:val="24"/>
        </w:rPr>
      </w:pPr>
    </w:p>
    <w:p w:rsidR="004633A1" w:rsidRPr="004633A1" w:rsidRDefault="004633A1" w:rsidP="004633A1">
      <w:pPr>
        <w:jc w:val="both"/>
        <w:rPr>
          <w:rFonts w:ascii="Times New Roman" w:hAnsi="Times New Roman" w:cs="Times New Roman"/>
          <w:sz w:val="24"/>
          <w:szCs w:val="24"/>
        </w:rPr>
      </w:pPr>
      <w:r w:rsidRPr="004633A1">
        <w:rPr>
          <w:rFonts w:ascii="Times New Roman" w:hAnsi="Times New Roman" w:cs="Times New Roman"/>
          <w:sz w:val="24"/>
          <w:szCs w:val="24"/>
        </w:rPr>
        <w:t xml:space="preserve">Among the 93 included patients, the overall in-hospital mortality was </w:t>
      </w:r>
      <w:r w:rsidRPr="004633A1">
        <w:rPr>
          <w:rFonts w:ascii="Times New Roman" w:hAnsi="Times New Roman" w:cs="Times New Roman"/>
          <w:bCs/>
          <w:sz w:val="24"/>
          <w:szCs w:val="24"/>
        </w:rPr>
        <w:t>75.3%</w:t>
      </w:r>
      <w:r w:rsidRPr="004633A1">
        <w:rPr>
          <w:rFonts w:ascii="Times New Roman" w:hAnsi="Times New Roman" w:cs="Times New Roman"/>
          <w:sz w:val="24"/>
          <w:szCs w:val="24"/>
        </w:rPr>
        <w:t xml:space="preserve">. There were no significant differences between survivors and non-survivors with respect to age, sex, </w:t>
      </w:r>
      <w:proofErr w:type="gramStart"/>
      <w:r w:rsidRPr="004633A1">
        <w:rPr>
          <w:rFonts w:ascii="Times New Roman" w:hAnsi="Times New Roman" w:cs="Times New Roman"/>
          <w:sz w:val="24"/>
          <w:szCs w:val="24"/>
        </w:rPr>
        <w:t>admission</w:t>
      </w:r>
      <w:proofErr w:type="gramEnd"/>
      <w:r w:rsidRPr="004633A1">
        <w:rPr>
          <w:rFonts w:ascii="Times New Roman" w:hAnsi="Times New Roman" w:cs="Times New Roman"/>
          <w:sz w:val="24"/>
          <w:szCs w:val="24"/>
        </w:rPr>
        <w:t xml:space="preserve"> GCS, treatment modality, or </w:t>
      </w:r>
      <w:proofErr w:type="spellStart"/>
      <w:r w:rsidRPr="004633A1">
        <w:rPr>
          <w:rFonts w:ascii="Times New Roman" w:hAnsi="Times New Roman" w:cs="Times New Roman"/>
          <w:sz w:val="24"/>
          <w:szCs w:val="24"/>
        </w:rPr>
        <w:t>ventriculomegaly</w:t>
      </w:r>
      <w:proofErr w:type="spellEnd"/>
      <w:r w:rsidRPr="004633A1">
        <w:rPr>
          <w:rFonts w:ascii="Times New Roman" w:hAnsi="Times New Roman" w:cs="Times New Roman"/>
          <w:sz w:val="24"/>
          <w:szCs w:val="24"/>
        </w:rPr>
        <w:t>. However, radiological variables showed important prognostic associations.</w:t>
      </w:r>
      <w:r w:rsidR="002D2CD6">
        <w:rPr>
          <w:rFonts w:ascii="Times New Roman" w:hAnsi="Times New Roman" w:cs="Times New Roman"/>
          <w:sz w:val="24"/>
          <w:szCs w:val="24"/>
        </w:rPr>
        <w:t xml:space="preserve"> </w:t>
      </w:r>
      <w:r w:rsidRPr="004633A1">
        <w:rPr>
          <w:rFonts w:ascii="Times New Roman" w:hAnsi="Times New Roman" w:cs="Times New Roman"/>
          <w:sz w:val="24"/>
          <w:szCs w:val="24"/>
        </w:rPr>
        <w:t xml:space="preserve">Patients who died more frequently demonstrated </w:t>
      </w:r>
      <w:r w:rsidRPr="004633A1">
        <w:rPr>
          <w:rFonts w:ascii="Times New Roman" w:hAnsi="Times New Roman" w:cs="Times New Roman"/>
          <w:bCs/>
          <w:sz w:val="24"/>
          <w:szCs w:val="24"/>
        </w:rPr>
        <w:t xml:space="preserve">associated </w:t>
      </w:r>
      <w:r w:rsidRPr="004633A1">
        <w:rPr>
          <w:rFonts w:ascii="Times New Roman" w:hAnsi="Times New Roman" w:cs="Times New Roman"/>
          <w:bCs/>
          <w:sz w:val="24"/>
          <w:szCs w:val="24"/>
        </w:rPr>
        <w:lastRenderedPageBreak/>
        <w:t>subarachnoid hemorrhage (65.7% vs. 34.8%, p = 0.007)</w:t>
      </w:r>
      <w:r w:rsidRPr="004633A1">
        <w:rPr>
          <w:rFonts w:ascii="Times New Roman" w:hAnsi="Times New Roman" w:cs="Times New Roman"/>
          <w:sz w:val="24"/>
          <w:szCs w:val="24"/>
        </w:rPr>
        <w:t xml:space="preserve">, </w:t>
      </w:r>
      <w:r w:rsidRPr="004633A1">
        <w:rPr>
          <w:rFonts w:ascii="Times New Roman" w:hAnsi="Times New Roman" w:cs="Times New Roman"/>
          <w:bCs/>
          <w:sz w:val="24"/>
          <w:szCs w:val="24"/>
        </w:rPr>
        <w:t>brainstem contusion (21.4% vs. 4.3%, p = 0.040)</w:t>
      </w:r>
      <w:r w:rsidRPr="004633A1">
        <w:rPr>
          <w:rFonts w:ascii="Times New Roman" w:hAnsi="Times New Roman" w:cs="Times New Roman"/>
          <w:sz w:val="24"/>
          <w:szCs w:val="24"/>
        </w:rPr>
        <w:t xml:space="preserve">, </w:t>
      </w:r>
      <w:r w:rsidRPr="004633A1">
        <w:rPr>
          <w:rFonts w:ascii="Times New Roman" w:hAnsi="Times New Roman" w:cs="Times New Roman"/>
          <w:bCs/>
          <w:sz w:val="24"/>
          <w:szCs w:val="24"/>
        </w:rPr>
        <w:t>cerebral infarction (18.6% vs. 4.3%, p = 0.050)</w:t>
      </w:r>
      <w:r w:rsidRPr="004633A1">
        <w:rPr>
          <w:rFonts w:ascii="Times New Roman" w:hAnsi="Times New Roman" w:cs="Times New Roman"/>
          <w:sz w:val="24"/>
          <w:szCs w:val="24"/>
        </w:rPr>
        <w:t xml:space="preserve">, and </w:t>
      </w:r>
      <w:r w:rsidRPr="004633A1">
        <w:rPr>
          <w:rFonts w:ascii="Times New Roman" w:hAnsi="Times New Roman" w:cs="Times New Roman"/>
          <w:bCs/>
          <w:sz w:val="24"/>
          <w:szCs w:val="24"/>
        </w:rPr>
        <w:t>associated subdural hematoma (14.3% vs. 4.3%, p = 0.017)</w:t>
      </w:r>
      <w:r w:rsidRPr="004633A1">
        <w:rPr>
          <w:rFonts w:ascii="Times New Roman" w:hAnsi="Times New Roman" w:cs="Times New Roman"/>
          <w:sz w:val="24"/>
          <w:szCs w:val="24"/>
        </w:rPr>
        <w:t>.</w:t>
      </w:r>
    </w:p>
    <w:p w:rsidR="004633A1" w:rsidRPr="004633A1" w:rsidRDefault="004633A1" w:rsidP="004633A1">
      <w:pPr>
        <w:jc w:val="both"/>
        <w:rPr>
          <w:rFonts w:ascii="Times New Roman" w:hAnsi="Times New Roman" w:cs="Times New Roman"/>
          <w:sz w:val="24"/>
          <w:szCs w:val="24"/>
        </w:rPr>
      </w:pPr>
      <w:r w:rsidRPr="004633A1">
        <w:rPr>
          <w:rFonts w:ascii="Times New Roman" w:hAnsi="Times New Roman" w:cs="Times New Roman"/>
          <w:sz w:val="24"/>
          <w:szCs w:val="24"/>
        </w:rPr>
        <w:t xml:space="preserve">On </w:t>
      </w:r>
      <w:proofErr w:type="spellStart"/>
      <w:r w:rsidRPr="004633A1">
        <w:rPr>
          <w:rFonts w:ascii="Times New Roman" w:hAnsi="Times New Roman" w:cs="Times New Roman"/>
          <w:sz w:val="24"/>
          <w:szCs w:val="24"/>
        </w:rPr>
        <w:t>univariate</w:t>
      </w:r>
      <w:proofErr w:type="spellEnd"/>
      <w:r w:rsidRPr="004633A1">
        <w:rPr>
          <w:rFonts w:ascii="Times New Roman" w:hAnsi="Times New Roman" w:cs="Times New Roman"/>
          <w:sz w:val="24"/>
          <w:szCs w:val="24"/>
        </w:rPr>
        <w:t xml:space="preserve"> logistic regression, associated SDH, SAH, brainstem contusion, and cerebral infarction were significantly associated with in-hospital mortality. Following multivariable adjustment, </w:t>
      </w:r>
      <w:r w:rsidRPr="004633A1">
        <w:rPr>
          <w:rFonts w:ascii="Times New Roman" w:hAnsi="Times New Roman" w:cs="Times New Roman"/>
          <w:bCs/>
          <w:sz w:val="24"/>
          <w:szCs w:val="24"/>
        </w:rPr>
        <w:t>subdural hematoma (adjusted OR 9.62, 95% CI 1.17–79.20, p = 0.037)</w:t>
      </w:r>
      <w:r w:rsidRPr="004633A1">
        <w:rPr>
          <w:rFonts w:ascii="Times New Roman" w:hAnsi="Times New Roman" w:cs="Times New Roman"/>
          <w:sz w:val="24"/>
          <w:szCs w:val="24"/>
        </w:rPr>
        <w:t xml:space="preserve"> and </w:t>
      </w:r>
      <w:r w:rsidRPr="004633A1">
        <w:rPr>
          <w:rFonts w:ascii="Times New Roman" w:hAnsi="Times New Roman" w:cs="Times New Roman"/>
          <w:bCs/>
          <w:sz w:val="24"/>
          <w:szCs w:val="24"/>
        </w:rPr>
        <w:t>associated subarachnoid hemorrhage (adjusted OR 5.59, 95% CI 1.43–21.86, p = 0.014)</w:t>
      </w:r>
      <w:r w:rsidRPr="004633A1">
        <w:rPr>
          <w:rFonts w:ascii="Times New Roman" w:hAnsi="Times New Roman" w:cs="Times New Roman"/>
          <w:sz w:val="24"/>
          <w:szCs w:val="24"/>
        </w:rPr>
        <w:t xml:space="preserve"> remained independent predictors of mortality, whereas brainstem contusion and cerebral infarction no longer retained statistical significance.</w:t>
      </w:r>
    </w:p>
    <w:p w:rsidR="004633A1" w:rsidRPr="006C0B73" w:rsidRDefault="004633A1" w:rsidP="004633A1">
      <w:pPr>
        <w:jc w:val="both"/>
        <w:rPr>
          <w:rFonts w:ascii="Times New Roman" w:hAnsi="Times New Roman" w:cs="Times New Roman"/>
          <w:b/>
          <w:bCs/>
          <w:sz w:val="24"/>
          <w:szCs w:val="24"/>
        </w:rPr>
      </w:pPr>
      <w:r w:rsidRPr="006C0B73">
        <w:rPr>
          <w:rFonts w:ascii="Times New Roman" w:hAnsi="Times New Roman" w:cs="Times New Roman"/>
          <w:b/>
          <w:bCs/>
          <w:sz w:val="24"/>
          <w:szCs w:val="24"/>
        </w:rPr>
        <w:t>Discussion</w:t>
      </w:r>
    </w:p>
    <w:p w:rsidR="004633A1" w:rsidRPr="004633A1" w:rsidRDefault="004633A1" w:rsidP="004633A1">
      <w:pPr>
        <w:jc w:val="both"/>
        <w:rPr>
          <w:rFonts w:ascii="Times New Roman" w:hAnsi="Times New Roman" w:cs="Times New Roman"/>
          <w:sz w:val="24"/>
          <w:szCs w:val="24"/>
        </w:rPr>
      </w:pPr>
      <w:r w:rsidRPr="004633A1">
        <w:rPr>
          <w:rFonts w:ascii="Times New Roman" w:hAnsi="Times New Roman" w:cs="Times New Roman"/>
          <w:sz w:val="24"/>
          <w:szCs w:val="24"/>
        </w:rPr>
        <w:t xml:space="preserve">The present study evaluated the clinical profile, radiological characteristics, and predictors of in-hospital mortality among geriatric patients with traumatic </w:t>
      </w:r>
      <w:proofErr w:type="spellStart"/>
      <w:r w:rsidRPr="004633A1">
        <w:rPr>
          <w:rFonts w:ascii="Times New Roman" w:hAnsi="Times New Roman" w:cs="Times New Roman"/>
          <w:sz w:val="24"/>
          <w:szCs w:val="24"/>
        </w:rPr>
        <w:t>intraventricular</w:t>
      </w:r>
      <w:proofErr w:type="spellEnd"/>
      <w:r w:rsidRPr="004633A1">
        <w:rPr>
          <w:rFonts w:ascii="Times New Roman" w:hAnsi="Times New Roman" w:cs="Times New Roman"/>
          <w:sz w:val="24"/>
          <w:szCs w:val="24"/>
        </w:rPr>
        <w:t xml:space="preserve"> hemorrhage (</w:t>
      </w:r>
      <w:proofErr w:type="spellStart"/>
      <w:r w:rsidRPr="004633A1">
        <w:rPr>
          <w:rFonts w:ascii="Times New Roman" w:hAnsi="Times New Roman" w:cs="Times New Roman"/>
          <w:sz w:val="24"/>
          <w:szCs w:val="24"/>
        </w:rPr>
        <w:t>tIVH</w:t>
      </w:r>
      <w:proofErr w:type="spellEnd"/>
      <w:r w:rsidRPr="004633A1">
        <w:rPr>
          <w:rFonts w:ascii="Times New Roman" w:hAnsi="Times New Roman" w:cs="Times New Roman"/>
          <w:sz w:val="24"/>
          <w:szCs w:val="24"/>
        </w:rPr>
        <w:t xml:space="preserve">). To our knowledge, this is among the few studies specifically focusing on elderly patients with </w:t>
      </w:r>
      <w:proofErr w:type="spellStart"/>
      <w:r w:rsidRPr="004633A1">
        <w:rPr>
          <w:rFonts w:ascii="Times New Roman" w:hAnsi="Times New Roman" w:cs="Times New Roman"/>
          <w:sz w:val="24"/>
          <w:szCs w:val="24"/>
        </w:rPr>
        <w:t>tIVH</w:t>
      </w:r>
      <w:proofErr w:type="spellEnd"/>
      <w:r w:rsidRPr="004633A1">
        <w:rPr>
          <w:rFonts w:ascii="Times New Roman" w:hAnsi="Times New Roman" w:cs="Times New Roman"/>
          <w:sz w:val="24"/>
          <w:szCs w:val="24"/>
        </w:rPr>
        <w:t xml:space="preserve"> from a low- and middle-income country. The principal findings were threefold: first, geriatric </w:t>
      </w:r>
      <w:proofErr w:type="spellStart"/>
      <w:r w:rsidRPr="004633A1">
        <w:rPr>
          <w:rFonts w:ascii="Times New Roman" w:hAnsi="Times New Roman" w:cs="Times New Roman"/>
          <w:sz w:val="24"/>
          <w:szCs w:val="24"/>
        </w:rPr>
        <w:t>tIVH</w:t>
      </w:r>
      <w:proofErr w:type="spellEnd"/>
      <w:r w:rsidRPr="004633A1">
        <w:rPr>
          <w:rFonts w:ascii="Times New Roman" w:hAnsi="Times New Roman" w:cs="Times New Roman"/>
          <w:sz w:val="24"/>
          <w:szCs w:val="24"/>
        </w:rPr>
        <w:t xml:space="preserve"> was associated with a high in-hospital mortality of </w:t>
      </w:r>
      <w:r w:rsidRPr="004633A1">
        <w:rPr>
          <w:rFonts w:ascii="Times New Roman" w:hAnsi="Times New Roman" w:cs="Times New Roman"/>
          <w:bCs/>
          <w:sz w:val="24"/>
          <w:szCs w:val="24"/>
        </w:rPr>
        <w:t>75.3%</w:t>
      </w:r>
      <w:r w:rsidRPr="004633A1">
        <w:rPr>
          <w:rFonts w:ascii="Times New Roman" w:hAnsi="Times New Roman" w:cs="Times New Roman"/>
          <w:sz w:val="24"/>
          <w:szCs w:val="24"/>
        </w:rPr>
        <w:t xml:space="preserve">; second, associated </w:t>
      </w:r>
      <w:r w:rsidRPr="004633A1">
        <w:rPr>
          <w:rFonts w:ascii="Times New Roman" w:hAnsi="Times New Roman" w:cs="Times New Roman"/>
          <w:bCs/>
          <w:sz w:val="24"/>
          <w:szCs w:val="24"/>
        </w:rPr>
        <w:t>subarachnoid hemorrhage (SAH)</w:t>
      </w:r>
      <w:r w:rsidRPr="004633A1">
        <w:rPr>
          <w:rFonts w:ascii="Times New Roman" w:hAnsi="Times New Roman" w:cs="Times New Roman"/>
          <w:sz w:val="24"/>
          <w:szCs w:val="24"/>
        </w:rPr>
        <w:t xml:space="preserve"> and </w:t>
      </w:r>
      <w:r w:rsidRPr="004633A1">
        <w:rPr>
          <w:rFonts w:ascii="Times New Roman" w:hAnsi="Times New Roman" w:cs="Times New Roman"/>
          <w:bCs/>
          <w:sz w:val="24"/>
          <w:szCs w:val="24"/>
        </w:rPr>
        <w:t>subdural hematoma (SDH)</w:t>
      </w:r>
      <w:r w:rsidRPr="004633A1">
        <w:rPr>
          <w:rFonts w:ascii="Times New Roman" w:hAnsi="Times New Roman" w:cs="Times New Roman"/>
          <w:sz w:val="24"/>
          <w:szCs w:val="24"/>
        </w:rPr>
        <w:t xml:space="preserve"> emerged as independent predictors of mortality after multivariable adjustment; and third, although brainstem contusion and cerebral infarction were associated with mortality on </w:t>
      </w:r>
      <w:proofErr w:type="spellStart"/>
      <w:r w:rsidRPr="004633A1">
        <w:rPr>
          <w:rFonts w:ascii="Times New Roman" w:hAnsi="Times New Roman" w:cs="Times New Roman"/>
          <w:sz w:val="24"/>
          <w:szCs w:val="24"/>
        </w:rPr>
        <w:t>univariate</w:t>
      </w:r>
      <w:proofErr w:type="spellEnd"/>
      <w:r w:rsidRPr="004633A1">
        <w:rPr>
          <w:rFonts w:ascii="Times New Roman" w:hAnsi="Times New Roman" w:cs="Times New Roman"/>
          <w:sz w:val="24"/>
          <w:szCs w:val="24"/>
        </w:rPr>
        <w:t xml:space="preserve"> analysis, they did not retain independent significance after adjustment for confounding variables. These findings highlight that mortality in geriatric </w:t>
      </w:r>
      <w:proofErr w:type="spellStart"/>
      <w:r w:rsidRPr="004633A1">
        <w:rPr>
          <w:rFonts w:ascii="Times New Roman" w:hAnsi="Times New Roman" w:cs="Times New Roman"/>
          <w:sz w:val="24"/>
          <w:szCs w:val="24"/>
        </w:rPr>
        <w:t>tIVH</w:t>
      </w:r>
      <w:proofErr w:type="spellEnd"/>
      <w:r w:rsidRPr="004633A1">
        <w:rPr>
          <w:rFonts w:ascii="Times New Roman" w:hAnsi="Times New Roman" w:cs="Times New Roman"/>
          <w:sz w:val="24"/>
          <w:szCs w:val="24"/>
        </w:rPr>
        <w:t xml:space="preserve"> is driven not only by </w:t>
      </w:r>
      <w:proofErr w:type="spellStart"/>
      <w:r w:rsidRPr="004633A1">
        <w:rPr>
          <w:rFonts w:ascii="Times New Roman" w:hAnsi="Times New Roman" w:cs="Times New Roman"/>
          <w:sz w:val="24"/>
          <w:szCs w:val="24"/>
        </w:rPr>
        <w:t>intraventricular</w:t>
      </w:r>
      <w:proofErr w:type="spellEnd"/>
      <w:r w:rsidRPr="004633A1">
        <w:rPr>
          <w:rFonts w:ascii="Times New Roman" w:hAnsi="Times New Roman" w:cs="Times New Roman"/>
          <w:sz w:val="24"/>
          <w:szCs w:val="24"/>
        </w:rPr>
        <w:t xml:space="preserve"> hemorrhage itself but also by the burden of associated intracranial </w:t>
      </w:r>
      <w:r w:rsidRPr="00A5589F">
        <w:rPr>
          <w:rFonts w:ascii="Times New Roman" w:hAnsi="Times New Roman" w:cs="Times New Roman"/>
          <w:sz w:val="24"/>
          <w:szCs w:val="24"/>
        </w:rPr>
        <w:t>injuries.</w:t>
      </w:r>
      <w:r w:rsidR="00A5589F" w:rsidRPr="00A5589F">
        <w:rPr>
          <w:rFonts w:ascii="Times New Roman" w:hAnsi="Times New Roman" w:cs="Times New Roman"/>
          <w:sz w:val="24"/>
          <w:szCs w:val="24"/>
          <w:highlight w:val="green"/>
          <w:vertAlign w:val="superscript"/>
        </w:rPr>
        <w:t>9</w:t>
      </w:r>
      <w:r w:rsidRPr="00A5589F">
        <w:rPr>
          <w:rFonts w:ascii="Times New Roman" w:hAnsi="Times New Roman" w:cs="Times New Roman"/>
          <w:sz w:val="24"/>
          <w:szCs w:val="24"/>
          <w:vertAlign w:val="superscript"/>
        </w:rPr>
        <w:t>–</w:t>
      </w:r>
      <w:r w:rsidR="00A5589F" w:rsidRPr="00A5589F">
        <w:rPr>
          <w:rFonts w:ascii="Times New Roman" w:hAnsi="Times New Roman" w:cs="Times New Roman"/>
          <w:sz w:val="24"/>
          <w:szCs w:val="24"/>
          <w:highlight w:val="green"/>
          <w:vertAlign w:val="superscript"/>
        </w:rPr>
        <w:t>11</w:t>
      </w:r>
    </w:p>
    <w:p w:rsidR="004633A1" w:rsidRPr="004633A1" w:rsidRDefault="004633A1" w:rsidP="004633A1">
      <w:pPr>
        <w:jc w:val="both"/>
        <w:rPr>
          <w:rFonts w:ascii="Times New Roman" w:hAnsi="Times New Roman" w:cs="Times New Roman"/>
          <w:sz w:val="24"/>
          <w:szCs w:val="24"/>
        </w:rPr>
      </w:pPr>
      <w:r w:rsidRPr="004633A1">
        <w:rPr>
          <w:rFonts w:ascii="Times New Roman" w:hAnsi="Times New Roman" w:cs="Times New Roman"/>
          <w:sz w:val="24"/>
          <w:szCs w:val="24"/>
        </w:rPr>
        <w:t xml:space="preserve">The observed mortality in our cohort is considerably higher than that reported in mixed adult populations with traumatic IVH, where mortality rates have ranged from approximately 20% to </w:t>
      </w:r>
      <w:r w:rsidR="001612B4">
        <w:rPr>
          <w:rFonts w:ascii="Times New Roman" w:hAnsi="Times New Roman" w:cs="Times New Roman"/>
          <w:sz w:val="24"/>
          <w:szCs w:val="24"/>
          <w:highlight w:val="green"/>
        </w:rPr>
        <w:t>55%.</w:t>
      </w:r>
      <w:r w:rsidR="001612B4" w:rsidRPr="001612B4">
        <w:rPr>
          <w:rFonts w:ascii="Times New Roman" w:hAnsi="Times New Roman" w:cs="Times New Roman"/>
          <w:sz w:val="24"/>
          <w:szCs w:val="24"/>
          <w:highlight w:val="green"/>
          <w:vertAlign w:val="superscript"/>
        </w:rPr>
        <w:t>11</w:t>
      </w:r>
      <w:proofErr w:type="gramStart"/>
      <w:r w:rsidR="001612B4" w:rsidRPr="001612B4">
        <w:rPr>
          <w:rFonts w:ascii="Times New Roman" w:hAnsi="Times New Roman" w:cs="Times New Roman"/>
          <w:sz w:val="24"/>
          <w:szCs w:val="24"/>
          <w:highlight w:val="green"/>
          <w:vertAlign w:val="superscript"/>
        </w:rPr>
        <w:t>,12</w:t>
      </w:r>
      <w:proofErr w:type="gramEnd"/>
      <w:r w:rsidRPr="004633A1">
        <w:rPr>
          <w:rFonts w:ascii="Times New Roman" w:hAnsi="Times New Roman" w:cs="Times New Roman"/>
          <w:sz w:val="24"/>
          <w:szCs w:val="24"/>
        </w:rPr>
        <w:t xml:space="preserve"> This difference is likely attributable to the exclusive inclusion of elderly patients in our study. Aging is associated with reduced physiological reserve, impaired </w:t>
      </w:r>
      <w:proofErr w:type="spellStart"/>
      <w:r w:rsidRPr="004633A1">
        <w:rPr>
          <w:rFonts w:ascii="Times New Roman" w:hAnsi="Times New Roman" w:cs="Times New Roman"/>
          <w:sz w:val="24"/>
          <w:szCs w:val="24"/>
        </w:rPr>
        <w:t>cerebrovascular</w:t>
      </w:r>
      <w:proofErr w:type="spellEnd"/>
      <w:r w:rsidRPr="004633A1">
        <w:rPr>
          <w:rFonts w:ascii="Times New Roman" w:hAnsi="Times New Roman" w:cs="Times New Roman"/>
          <w:sz w:val="24"/>
          <w:szCs w:val="24"/>
        </w:rPr>
        <w:t xml:space="preserve"> </w:t>
      </w:r>
      <w:proofErr w:type="spellStart"/>
      <w:r w:rsidRPr="004633A1">
        <w:rPr>
          <w:rFonts w:ascii="Times New Roman" w:hAnsi="Times New Roman" w:cs="Times New Roman"/>
          <w:sz w:val="24"/>
          <w:szCs w:val="24"/>
        </w:rPr>
        <w:t>autoregulation</w:t>
      </w:r>
      <w:proofErr w:type="spellEnd"/>
      <w:r w:rsidRPr="004633A1">
        <w:rPr>
          <w:rFonts w:ascii="Times New Roman" w:hAnsi="Times New Roman" w:cs="Times New Roman"/>
          <w:sz w:val="24"/>
          <w:szCs w:val="24"/>
        </w:rPr>
        <w:t xml:space="preserve">, frailty, anticoagulant use, and a higher prevalence of systemic </w:t>
      </w:r>
      <w:proofErr w:type="spellStart"/>
      <w:r w:rsidRPr="004633A1">
        <w:rPr>
          <w:rFonts w:ascii="Times New Roman" w:hAnsi="Times New Roman" w:cs="Times New Roman"/>
          <w:sz w:val="24"/>
          <w:szCs w:val="24"/>
        </w:rPr>
        <w:t>comorbidities</w:t>
      </w:r>
      <w:proofErr w:type="spellEnd"/>
      <w:r w:rsidRPr="004633A1">
        <w:rPr>
          <w:rFonts w:ascii="Times New Roman" w:hAnsi="Times New Roman" w:cs="Times New Roman"/>
          <w:sz w:val="24"/>
          <w:szCs w:val="24"/>
        </w:rPr>
        <w:t xml:space="preserve">, all of which contribute to poorer tolerance of primary and secondary brain </w:t>
      </w:r>
      <w:r w:rsidRPr="001612B4">
        <w:rPr>
          <w:rFonts w:ascii="Times New Roman" w:hAnsi="Times New Roman" w:cs="Times New Roman"/>
          <w:sz w:val="24"/>
          <w:szCs w:val="24"/>
        </w:rPr>
        <w:t>injury.¹⁻³</w:t>
      </w:r>
      <w:r w:rsidRPr="004633A1">
        <w:rPr>
          <w:rFonts w:ascii="Times New Roman" w:hAnsi="Times New Roman" w:cs="Times New Roman"/>
          <w:sz w:val="24"/>
          <w:szCs w:val="24"/>
        </w:rPr>
        <w:t xml:space="preserve"> Furthermore, elderly patients frequently sustain diffuse intracranial injuries even after relatively low-energy trauma because cerebral atrophy permits greater intracranial movement during acceleration-deceleration injury. These age-related factors probably explain the substantially higher mortality observed in our cohort.</w:t>
      </w:r>
    </w:p>
    <w:p w:rsidR="004633A1" w:rsidRPr="004633A1" w:rsidRDefault="004633A1" w:rsidP="004633A1">
      <w:pPr>
        <w:jc w:val="both"/>
        <w:rPr>
          <w:rFonts w:ascii="Times New Roman" w:hAnsi="Times New Roman" w:cs="Times New Roman"/>
          <w:sz w:val="24"/>
          <w:szCs w:val="24"/>
        </w:rPr>
      </w:pPr>
      <w:r w:rsidRPr="004633A1">
        <w:rPr>
          <w:rFonts w:ascii="Times New Roman" w:hAnsi="Times New Roman" w:cs="Times New Roman"/>
          <w:sz w:val="24"/>
          <w:szCs w:val="24"/>
        </w:rPr>
        <w:t xml:space="preserve">One of the most important findings of the present study is the identification of </w:t>
      </w:r>
      <w:r w:rsidRPr="004633A1">
        <w:rPr>
          <w:rFonts w:ascii="Times New Roman" w:hAnsi="Times New Roman" w:cs="Times New Roman"/>
          <w:bCs/>
          <w:sz w:val="24"/>
          <w:szCs w:val="24"/>
        </w:rPr>
        <w:t>associated SAH as an independent predictor of mortality</w:t>
      </w:r>
      <w:r w:rsidRPr="004633A1">
        <w:rPr>
          <w:rFonts w:ascii="Times New Roman" w:hAnsi="Times New Roman" w:cs="Times New Roman"/>
          <w:sz w:val="24"/>
          <w:szCs w:val="24"/>
        </w:rPr>
        <w:t xml:space="preserve">. Previous investigators have consistently demonstrated that traumatic SAH reflects severe biomechanical injury and is associated with diffuse vascular damage, cerebral vasospasm, cortical ischemia, and secondary brain </w:t>
      </w:r>
      <w:r w:rsidRPr="001612B4">
        <w:rPr>
          <w:rFonts w:ascii="Times New Roman" w:hAnsi="Times New Roman" w:cs="Times New Roman"/>
          <w:sz w:val="24"/>
          <w:szCs w:val="24"/>
        </w:rPr>
        <w:t>injury</w:t>
      </w:r>
      <w:r w:rsidR="001612B4">
        <w:rPr>
          <w:rFonts w:ascii="Times New Roman" w:hAnsi="Times New Roman" w:cs="Times New Roman"/>
          <w:sz w:val="24"/>
          <w:szCs w:val="24"/>
          <w:highlight w:val="green"/>
        </w:rPr>
        <w:t xml:space="preserve">. </w:t>
      </w:r>
      <w:r w:rsidR="001612B4" w:rsidRPr="001612B4">
        <w:rPr>
          <w:rFonts w:ascii="Times New Roman" w:hAnsi="Times New Roman" w:cs="Times New Roman"/>
          <w:sz w:val="24"/>
          <w:szCs w:val="24"/>
          <w:highlight w:val="green"/>
          <w:vertAlign w:val="superscript"/>
        </w:rPr>
        <w:t>13-15</w:t>
      </w:r>
      <w:r w:rsidRPr="004633A1">
        <w:rPr>
          <w:rFonts w:ascii="Times New Roman" w:hAnsi="Times New Roman" w:cs="Times New Roman"/>
          <w:sz w:val="24"/>
          <w:szCs w:val="24"/>
        </w:rPr>
        <w:t xml:space="preserve"> </w:t>
      </w:r>
      <w:proofErr w:type="gramStart"/>
      <w:r w:rsidRPr="004633A1">
        <w:rPr>
          <w:rFonts w:ascii="Times New Roman" w:hAnsi="Times New Roman" w:cs="Times New Roman"/>
          <w:sz w:val="24"/>
          <w:szCs w:val="24"/>
        </w:rPr>
        <w:t>Our</w:t>
      </w:r>
      <w:proofErr w:type="gramEnd"/>
      <w:r w:rsidRPr="004633A1">
        <w:rPr>
          <w:rFonts w:ascii="Times New Roman" w:hAnsi="Times New Roman" w:cs="Times New Roman"/>
          <w:sz w:val="24"/>
          <w:szCs w:val="24"/>
        </w:rPr>
        <w:t xml:space="preserve"> findings corroborate these observations specifically in the geriatric population. Elderly patients may be particularly vulnerable to the deleterious effects of traumatic SAH because of impaired </w:t>
      </w:r>
      <w:proofErr w:type="spellStart"/>
      <w:r w:rsidRPr="004633A1">
        <w:rPr>
          <w:rFonts w:ascii="Times New Roman" w:hAnsi="Times New Roman" w:cs="Times New Roman"/>
          <w:sz w:val="24"/>
          <w:szCs w:val="24"/>
        </w:rPr>
        <w:lastRenderedPageBreak/>
        <w:t>cerebrovascular</w:t>
      </w:r>
      <w:proofErr w:type="spellEnd"/>
      <w:r w:rsidRPr="004633A1">
        <w:rPr>
          <w:rFonts w:ascii="Times New Roman" w:hAnsi="Times New Roman" w:cs="Times New Roman"/>
          <w:sz w:val="24"/>
          <w:szCs w:val="24"/>
        </w:rPr>
        <w:t xml:space="preserve"> reactivity and reduced compensatory reserve, thereby amplifying the risk of delayed cerebral ischemia and neurological deterioration. The adjusted odds ratio observed in our study suggests that the presence of SAH should alert clinicians to a substantially increased risk of in-hospital mortality and may justify closer neurological monitoring and aggressive critical care management.</w:t>
      </w:r>
    </w:p>
    <w:p w:rsidR="004633A1" w:rsidRPr="004633A1" w:rsidRDefault="004633A1" w:rsidP="004633A1">
      <w:pPr>
        <w:jc w:val="both"/>
        <w:rPr>
          <w:rFonts w:ascii="Times New Roman" w:hAnsi="Times New Roman" w:cs="Times New Roman"/>
          <w:sz w:val="24"/>
          <w:szCs w:val="24"/>
        </w:rPr>
      </w:pPr>
      <w:r w:rsidRPr="004633A1">
        <w:rPr>
          <w:rFonts w:ascii="Times New Roman" w:hAnsi="Times New Roman" w:cs="Times New Roman"/>
          <w:sz w:val="24"/>
          <w:szCs w:val="24"/>
        </w:rPr>
        <w:t xml:space="preserve">Another novel finding was that </w:t>
      </w:r>
      <w:r w:rsidRPr="004633A1">
        <w:rPr>
          <w:rFonts w:ascii="Times New Roman" w:hAnsi="Times New Roman" w:cs="Times New Roman"/>
          <w:bCs/>
          <w:sz w:val="24"/>
          <w:szCs w:val="24"/>
        </w:rPr>
        <w:t>associated subdural hematoma independently predicted mortality</w:t>
      </w:r>
      <w:r w:rsidRPr="004633A1">
        <w:rPr>
          <w:rFonts w:ascii="Times New Roman" w:hAnsi="Times New Roman" w:cs="Times New Roman"/>
          <w:sz w:val="24"/>
          <w:szCs w:val="24"/>
        </w:rPr>
        <w:t xml:space="preserve">, even after adjustment for other radiological variables. Acute SDH is well recognized as one of the strongest determinants of adverse outcome following traumatic brain injury, particularly in older adults, owing to rapid mass effect, elevated intracranial pressure, and progression of secondary ischemic </w:t>
      </w:r>
      <w:r w:rsidRPr="001612B4">
        <w:rPr>
          <w:rFonts w:ascii="Times New Roman" w:hAnsi="Times New Roman" w:cs="Times New Roman"/>
          <w:sz w:val="24"/>
          <w:szCs w:val="24"/>
        </w:rPr>
        <w:t>injury.</w:t>
      </w:r>
      <w:r w:rsidR="001612B4">
        <w:rPr>
          <w:rFonts w:ascii="Times New Roman" w:hAnsi="Times New Roman" w:cs="Times New Roman"/>
          <w:sz w:val="24"/>
          <w:szCs w:val="24"/>
          <w:highlight w:val="green"/>
        </w:rPr>
        <w:t xml:space="preserve"> </w:t>
      </w:r>
      <w:r w:rsidR="001612B4" w:rsidRPr="001612B4">
        <w:rPr>
          <w:rFonts w:ascii="Times New Roman" w:hAnsi="Times New Roman" w:cs="Times New Roman"/>
          <w:sz w:val="24"/>
          <w:szCs w:val="24"/>
          <w:highlight w:val="green"/>
          <w:vertAlign w:val="superscript"/>
        </w:rPr>
        <w:t>16-18</w:t>
      </w:r>
      <w:r w:rsidRPr="004633A1">
        <w:rPr>
          <w:rFonts w:ascii="Times New Roman" w:hAnsi="Times New Roman" w:cs="Times New Roman"/>
          <w:sz w:val="24"/>
          <w:szCs w:val="24"/>
        </w:rPr>
        <w:t xml:space="preserve"> </w:t>
      </w:r>
      <w:proofErr w:type="gramStart"/>
      <w:r w:rsidRPr="004633A1">
        <w:rPr>
          <w:rFonts w:ascii="Times New Roman" w:hAnsi="Times New Roman" w:cs="Times New Roman"/>
          <w:sz w:val="24"/>
          <w:szCs w:val="24"/>
        </w:rPr>
        <w:t>Previous</w:t>
      </w:r>
      <w:proofErr w:type="gramEnd"/>
      <w:r w:rsidRPr="004633A1">
        <w:rPr>
          <w:rFonts w:ascii="Times New Roman" w:hAnsi="Times New Roman" w:cs="Times New Roman"/>
          <w:sz w:val="24"/>
          <w:szCs w:val="24"/>
        </w:rPr>
        <w:t xml:space="preserve"> studies evaluating traumatic IVH have largely considered SDH as one of several associated lesions without specifically examining its independent prognostic value. Our findings suggest that in elderly patients with </w:t>
      </w:r>
      <w:proofErr w:type="spellStart"/>
      <w:r w:rsidRPr="004633A1">
        <w:rPr>
          <w:rFonts w:ascii="Times New Roman" w:hAnsi="Times New Roman" w:cs="Times New Roman"/>
          <w:sz w:val="24"/>
          <w:szCs w:val="24"/>
        </w:rPr>
        <w:t>tIVH</w:t>
      </w:r>
      <w:proofErr w:type="spellEnd"/>
      <w:r w:rsidRPr="004633A1">
        <w:rPr>
          <w:rFonts w:ascii="Times New Roman" w:hAnsi="Times New Roman" w:cs="Times New Roman"/>
          <w:sz w:val="24"/>
          <w:szCs w:val="24"/>
        </w:rPr>
        <w:t>, concomitant SDH may represent a particularly lethal combination, emphasizing the importance of early recognition, timely neurosurgical evaluation, and individualized treatment planning.</w:t>
      </w:r>
    </w:p>
    <w:p w:rsidR="004633A1" w:rsidRPr="004633A1" w:rsidRDefault="004633A1" w:rsidP="004633A1">
      <w:pPr>
        <w:jc w:val="both"/>
        <w:rPr>
          <w:rFonts w:ascii="Times New Roman" w:hAnsi="Times New Roman" w:cs="Times New Roman"/>
          <w:sz w:val="24"/>
          <w:szCs w:val="24"/>
        </w:rPr>
      </w:pPr>
      <w:r w:rsidRPr="004633A1">
        <w:rPr>
          <w:rFonts w:ascii="Times New Roman" w:hAnsi="Times New Roman" w:cs="Times New Roman"/>
          <w:sz w:val="24"/>
          <w:szCs w:val="24"/>
        </w:rPr>
        <w:t xml:space="preserve">Brainstem contusion and cerebral infarction were significantly associated with mortality on </w:t>
      </w:r>
      <w:proofErr w:type="spellStart"/>
      <w:r w:rsidRPr="004633A1">
        <w:rPr>
          <w:rFonts w:ascii="Times New Roman" w:hAnsi="Times New Roman" w:cs="Times New Roman"/>
          <w:sz w:val="24"/>
          <w:szCs w:val="24"/>
        </w:rPr>
        <w:t>univariate</w:t>
      </w:r>
      <w:proofErr w:type="spellEnd"/>
      <w:r w:rsidRPr="004633A1">
        <w:rPr>
          <w:rFonts w:ascii="Times New Roman" w:hAnsi="Times New Roman" w:cs="Times New Roman"/>
          <w:sz w:val="24"/>
          <w:szCs w:val="24"/>
        </w:rPr>
        <w:t xml:space="preserve"> analysis but did not remain independent predictors in the multivariable model. Brainstem injuries generally reflect high-energy trauma and have consistently been associated with poor neurological outcomes because of damage to vital </w:t>
      </w:r>
      <w:proofErr w:type="spellStart"/>
      <w:r w:rsidRPr="004633A1">
        <w:rPr>
          <w:rFonts w:ascii="Times New Roman" w:hAnsi="Times New Roman" w:cs="Times New Roman"/>
          <w:sz w:val="24"/>
          <w:szCs w:val="24"/>
        </w:rPr>
        <w:t>cardiorespiratory</w:t>
      </w:r>
      <w:proofErr w:type="spellEnd"/>
      <w:r w:rsidRPr="004633A1">
        <w:rPr>
          <w:rFonts w:ascii="Times New Roman" w:hAnsi="Times New Roman" w:cs="Times New Roman"/>
          <w:sz w:val="24"/>
          <w:szCs w:val="24"/>
        </w:rPr>
        <w:t xml:space="preserve"> and arousal </w:t>
      </w:r>
      <w:r w:rsidRPr="001612B4">
        <w:rPr>
          <w:rFonts w:ascii="Times New Roman" w:hAnsi="Times New Roman" w:cs="Times New Roman"/>
          <w:sz w:val="24"/>
          <w:szCs w:val="24"/>
        </w:rPr>
        <w:t>pathways.</w:t>
      </w:r>
      <w:r w:rsidR="001612B4">
        <w:rPr>
          <w:rFonts w:ascii="Times New Roman" w:hAnsi="Times New Roman" w:cs="Times New Roman"/>
          <w:sz w:val="24"/>
          <w:szCs w:val="24"/>
          <w:highlight w:val="green"/>
        </w:rPr>
        <w:t xml:space="preserve"> </w:t>
      </w:r>
      <w:r w:rsidR="001612B4" w:rsidRPr="001612B4">
        <w:rPr>
          <w:rFonts w:ascii="Times New Roman" w:hAnsi="Times New Roman" w:cs="Times New Roman"/>
          <w:sz w:val="24"/>
          <w:szCs w:val="24"/>
          <w:highlight w:val="green"/>
          <w:vertAlign w:val="superscript"/>
        </w:rPr>
        <w:t>19</w:t>
      </w:r>
      <w:r w:rsidRPr="004633A1">
        <w:rPr>
          <w:rFonts w:ascii="Times New Roman" w:hAnsi="Times New Roman" w:cs="Times New Roman"/>
          <w:sz w:val="24"/>
          <w:szCs w:val="24"/>
        </w:rPr>
        <w:t xml:space="preserve"> Similarly, post-traumatic cerebral infarction has been recognized as a marker of severe intracranial injury and impaired cerebral </w:t>
      </w:r>
      <w:r w:rsidRPr="001612B4">
        <w:rPr>
          <w:rFonts w:ascii="Times New Roman" w:hAnsi="Times New Roman" w:cs="Times New Roman"/>
          <w:sz w:val="24"/>
          <w:szCs w:val="24"/>
        </w:rPr>
        <w:t>perfusion.</w:t>
      </w:r>
      <w:r w:rsidR="001612B4" w:rsidRPr="001612B4">
        <w:rPr>
          <w:rFonts w:ascii="Times New Roman" w:hAnsi="Times New Roman" w:cs="Times New Roman"/>
          <w:sz w:val="24"/>
          <w:szCs w:val="24"/>
          <w:highlight w:val="green"/>
          <w:vertAlign w:val="superscript"/>
        </w:rPr>
        <w:t>20</w:t>
      </w:r>
      <w:r w:rsidRPr="004633A1">
        <w:rPr>
          <w:rFonts w:ascii="Times New Roman" w:hAnsi="Times New Roman" w:cs="Times New Roman"/>
          <w:sz w:val="24"/>
          <w:szCs w:val="24"/>
        </w:rPr>
        <w:t xml:space="preserve"> The loss of statistical significance after multivariable adjustment in our study may reflect </w:t>
      </w:r>
      <w:proofErr w:type="spellStart"/>
      <w:r w:rsidRPr="004633A1">
        <w:rPr>
          <w:rFonts w:ascii="Times New Roman" w:hAnsi="Times New Roman" w:cs="Times New Roman"/>
          <w:sz w:val="24"/>
          <w:szCs w:val="24"/>
        </w:rPr>
        <w:t>collinearity</w:t>
      </w:r>
      <w:proofErr w:type="spellEnd"/>
      <w:r w:rsidRPr="004633A1">
        <w:rPr>
          <w:rFonts w:ascii="Times New Roman" w:hAnsi="Times New Roman" w:cs="Times New Roman"/>
          <w:sz w:val="24"/>
          <w:szCs w:val="24"/>
        </w:rPr>
        <w:t xml:space="preserve"> between these variables and other severe intracranial injuries, as well as the relatively limited sample size, rather than an absence of biological relevance.</w:t>
      </w:r>
    </w:p>
    <w:p w:rsidR="004633A1" w:rsidRPr="004633A1" w:rsidRDefault="004633A1" w:rsidP="004633A1">
      <w:pPr>
        <w:jc w:val="both"/>
        <w:rPr>
          <w:rFonts w:ascii="Times New Roman" w:hAnsi="Times New Roman" w:cs="Times New Roman"/>
          <w:sz w:val="24"/>
          <w:szCs w:val="24"/>
        </w:rPr>
      </w:pPr>
      <w:r w:rsidRPr="004633A1">
        <w:rPr>
          <w:rFonts w:ascii="Times New Roman" w:hAnsi="Times New Roman" w:cs="Times New Roman"/>
          <w:sz w:val="24"/>
          <w:szCs w:val="24"/>
        </w:rPr>
        <w:t xml:space="preserve">Interestingly, admission age, sex, Glasgow Coma Scale score, treatment modality, </w:t>
      </w:r>
      <w:proofErr w:type="spellStart"/>
      <w:r w:rsidRPr="004633A1">
        <w:rPr>
          <w:rFonts w:ascii="Times New Roman" w:hAnsi="Times New Roman" w:cs="Times New Roman"/>
          <w:sz w:val="24"/>
          <w:szCs w:val="24"/>
        </w:rPr>
        <w:t>ventriculomegaly</w:t>
      </w:r>
      <w:proofErr w:type="spellEnd"/>
      <w:r w:rsidRPr="004633A1">
        <w:rPr>
          <w:rFonts w:ascii="Times New Roman" w:hAnsi="Times New Roman" w:cs="Times New Roman"/>
          <w:sz w:val="24"/>
          <w:szCs w:val="24"/>
        </w:rPr>
        <w:t xml:space="preserve">, and midline shift did not independently predict mortality in our cohort. Previous large-scale TBI studies have consistently demonstrated that advanced age and lower GCS are among the strongest predictors of </w:t>
      </w:r>
      <w:r w:rsidRPr="001612B4">
        <w:rPr>
          <w:rFonts w:ascii="Times New Roman" w:hAnsi="Times New Roman" w:cs="Times New Roman"/>
          <w:sz w:val="24"/>
          <w:szCs w:val="24"/>
        </w:rPr>
        <w:t>outcome.</w:t>
      </w:r>
      <w:r w:rsidR="001612B4">
        <w:rPr>
          <w:rFonts w:ascii="Times New Roman" w:hAnsi="Times New Roman" w:cs="Times New Roman"/>
          <w:sz w:val="24"/>
          <w:szCs w:val="24"/>
          <w:highlight w:val="green"/>
        </w:rPr>
        <w:t xml:space="preserve"> </w:t>
      </w:r>
      <w:r w:rsidRPr="001612B4">
        <w:rPr>
          <w:rFonts w:ascii="Times New Roman" w:hAnsi="Times New Roman" w:cs="Times New Roman"/>
          <w:sz w:val="24"/>
          <w:szCs w:val="24"/>
        </w:rPr>
        <w:t>¹</w:t>
      </w:r>
      <w:r w:rsidR="001612B4" w:rsidRPr="001612B4">
        <w:rPr>
          <w:rFonts w:ascii="Times New Roman" w:hAnsi="Times New Roman" w:cs="Times New Roman"/>
          <w:sz w:val="24"/>
          <w:szCs w:val="24"/>
          <w:highlight w:val="green"/>
          <w:vertAlign w:val="superscript"/>
        </w:rPr>
        <w:t>, 21</w:t>
      </w:r>
      <w:r w:rsidRPr="004633A1">
        <w:rPr>
          <w:rFonts w:ascii="Times New Roman" w:hAnsi="Times New Roman" w:cs="Times New Roman"/>
          <w:sz w:val="24"/>
          <w:szCs w:val="24"/>
        </w:rPr>
        <w:t xml:space="preserve"> </w:t>
      </w:r>
      <w:proofErr w:type="gramStart"/>
      <w:r w:rsidRPr="004633A1">
        <w:rPr>
          <w:rFonts w:ascii="Times New Roman" w:hAnsi="Times New Roman" w:cs="Times New Roman"/>
          <w:sz w:val="24"/>
          <w:szCs w:val="24"/>
        </w:rPr>
        <w:t>The</w:t>
      </w:r>
      <w:proofErr w:type="gramEnd"/>
      <w:r w:rsidRPr="004633A1">
        <w:rPr>
          <w:rFonts w:ascii="Times New Roman" w:hAnsi="Times New Roman" w:cs="Times New Roman"/>
          <w:sz w:val="24"/>
          <w:szCs w:val="24"/>
        </w:rPr>
        <w:t xml:space="preserve"> absence of similar associations in the present study may be explained by the relatively homogeneous nature of our cohort, which consisted exclusively of elderly patients with </w:t>
      </w:r>
      <w:proofErr w:type="spellStart"/>
      <w:r w:rsidRPr="004633A1">
        <w:rPr>
          <w:rFonts w:ascii="Times New Roman" w:hAnsi="Times New Roman" w:cs="Times New Roman"/>
          <w:sz w:val="24"/>
          <w:szCs w:val="24"/>
        </w:rPr>
        <w:t>radiologically</w:t>
      </w:r>
      <w:proofErr w:type="spellEnd"/>
      <w:r w:rsidRPr="004633A1">
        <w:rPr>
          <w:rFonts w:ascii="Times New Roman" w:hAnsi="Times New Roman" w:cs="Times New Roman"/>
          <w:sz w:val="24"/>
          <w:szCs w:val="24"/>
        </w:rPr>
        <w:t xml:space="preserve"> confirmed traumatic IVH. Consequently, the prognostic effect of these traditional variables may have been overshadowed by the severity of associated intracranial pathology.</w:t>
      </w:r>
    </w:p>
    <w:p w:rsidR="004633A1" w:rsidRPr="004633A1" w:rsidRDefault="004633A1" w:rsidP="004633A1">
      <w:pPr>
        <w:jc w:val="both"/>
        <w:rPr>
          <w:rFonts w:ascii="Times New Roman" w:hAnsi="Times New Roman" w:cs="Times New Roman"/>
          <w:sz w:val="24"/>
          <w:szCs w:val="24"/>
        </w:rPr>
      </w:pPr>
      <w:r w:rsidRPr="004633A1">
        <w:rPr>
          <w:rFonts w:ascii="Times New Roman" w:hAnsi="Times New Roman" w:cs="Times New Roman"/>
          <w:sz w:val="24"/>
          <w:szCs w:val="24"/>
        </w:rPr>
        <w:t xml:space="preserve">The present study contributes several important observations to the existing literature. First, unlike previous reports that primarily evaluated heterogeneous adult trauma populations, our study exclusively examined geriatric patients with traumatic </w:t>
      </w:r>
      <w:proofErr w:type="spellStart"/>
      <w:r w:rsidRPr="004633A1">
        <w:rPr>
          <w:rFonts w:ascii="Times New Roman" w:hAnsi="Times New Roman" w:cs="Times New Roman"/>
          <w:sz w:val="24"/>
          <w:szCs w:val="24"/>
        </w:rPr>
        <w:t>intraventricular</w:t>
      </w:r>
      <w:proofErr w:type="spellEnd"/>
      <w:r w:rsidRPr="004633A1">
        <w:rPr>
          <w:rFonts w:ascii="Times New Roman" w:hAnsi="Times New Roman" w:cs="Times New Roman"/>
          <w:sz w:val="24"/>
          <w:szCs w:val="24"/>
        </w:rPr>
        <w:t xml:space="preserve"> hemorrhage. Second, we systematically evaluated multiple radiological variables using multivariable logistic regression to distinguish independent predictors from simple associations. Third, our findings indicate that </w:t>
      </w:r>
      <w:r w:rsidRPr="004633A1">
        <w:rPr>
          <w:rFonts w:ascii="Times New Roman" w:hAnsi="Times New Roman" w:cs="Times New Roman"/>
          <w:bCs/>
          <w:sz w:val="24"/>
          <w:szCs w:val="24"/>
        </w:rPr>
        <w:t xml:space="preserve">associated SAH and SDH provide greater prognostic information than the presence of </w:t>
      </w:r>
      <w:proofErr w:type="spellStart"/>
      <w:r w:rsidRPr="004633A1">
        <w:rPr>
          <w:rFonts w:ascii="Times New Roman" w:hAnsi="Times New Roman" w:cs="Times New Roman"/>
          <w:bCs/>
          <w:sz w:val="24"/>
          <w:szCs w:val="24"/>
        </w:rPr>
        <w:t>intraventricular</w:t>
      </w:r>
      <w:proofErr w:type="spellEnd"/>
      <w:r w:rsidRPr="004633A1">
        <w:rPr>
          <w:rFonts w:ascii="Times New Roman" w:hAnsi="Times New Roman" w:cs="Times New Roman"/>
          <w:bCs/>
          <w:sz w:val="24"/>
          <w:szCs w:val="24"/>
        </w:rPr>
        <w:t xml:space="preserve"> hemorrhage </w:t>
      </w:r>
      <w:proofErr w:type="gramStart"/>
      <w:r w:rsidRPr="004633A1">
        <w:rPr>
          <w:rFonts w:ascii="Times New Roman" w:hAnsi="Times New Roman" w:cs="Times New Roman"/>
          <w:bCs/>
          <w:sz w:val="24"/>
          <w:szCs w:val="24"/>
        </w:rPr>
        <w:t>alone</w:t>
      </w:r>
      <w:r w:rsidRPr="004633A1">
        <w:rPr>
          <w:rFonts w:ascii="Times New Roman" w:hAnsi="Times New Roman" w:cs="Times New Roman"/>
          <w:sz w:val="24"/>
          <w:szCs w:val="24"/>
        </w:rPr>
        <w:t>,</w:t>
      </w:r>
      <w:proofErr w:type="gramEnd"/>
      <w:r w:rsidRPr="004633A1">
        <w:rPr>
          <w:rFonts w:ascii="Times New Roman" w:hAnsi="Times New Roman" w:cs="Times New Roman"/>
          <w:sz w:val="24"/>
          <w:szCs w:val="24"/>
        </w:rPr>
        <w:t xml:space="preserve"> suggesting that comprehensive evaluation of associated CT </w:t>
      </w:r>
      <w:r w:rsidRPr="004633A1">
        <w:rPr>
          <w:rFonts w:ascii="Times New Roman" w:hAnsi="Times New Roman" w:cs="Times New Roman"/>
          <w:sz w:val="24"/>
          <w:szCs w:val="24"/>
        </w:rPr>
        <w:lastRenderedPageBreak/>
        <w:t>findings should form an integral component of early risk stratification in elderly patients with traumatic brain injury. These observations provide clinically useful information for prognostic counseling, triage decisions, and allocation of intensive care resources.</w:t>
      </w:r>
    </w:p>
    <w:p w:rsidR="004633A1" w:rsidRPr="004633A1" w:rsidRDefault="004633A1" w:rsidP="004633A1">
      <w:pPr>
        <w:jc w:val="both"/>
        <w:rPr>
          <w:rFonts w:ascii="Times New Roman" w:hAnsi="Times New Roman" w:cs="Times New Roman"/>
          <w:sz w:val="24"/>
          <w:szCs w:val="24"/>
        </w:rPr>
      </w:pPr>
      <w:r w:rsidRPr="004633A1">
        <w:rPr>
          <w:rFonts w:ascii="Times New Roman" w:hAnsi="Times New Roman" w:cs="Times New Roman"/>
          <w:sz w:val="24"/>
          <w:szCs w:val="24"/>
        </w:rPr>
        <w:t xml:space="preserve">The strengths of the present study include its exclusive focus on </w:t>
      </w:r>
      <w:r w:rsidRPr="004633A1">
        <w:rPr>
          <w:rFonts w:ascii="Times New Roman" w:hAnsi="Times New Roman" w:cs="Times New Roman"/>
          <w:bCs/>
          <w:sz w:val="24"/>
          <w:szCs w:val="24"/>
        </w:rPr>
        <w:t xml:space="preserve">geriatric traumatic </w:t>
      </w:r>
      <w:proofErr w:type="spellStart"/>
      <w:r w:rsidRPr="004633A1">
        <w:rPr>
          <w:rFonts w:ascii="Times New Roman" w:hAnsi="Times New Roman" w:cs="Times New Roman"/>
          <w:bCs/>
          <w:sz w:val="24"/>
          <w:szCs w:val="24"/>
        </w:rPr>
        <w:t>intraventricular</w:t>
      </w:r>
      <w:proofErr w:type="spellEnd"/>
      <w:r w:rsidRPr="004633A1">
        <w:rPr>
          <w:rFonts w:ascii="Times New Roman" w:hAnsi="Times New Roman" w:cs="Times New Roman"/>
          <w:bCs/>
          <w:sz w:val="24"/>
          <w:szCs w:val="24"/>
        </w:rPr>
        <w:t xml:space="preserve"> hemorrhage</w:t>
      </w:r>
      <w:r w:rsidRPr="004633A1">
        <w:rPr>
          <w:rFonts w:ascii="Times New Roman" w:hAnsi="Times New Roman" w:cs="Times New Roman"/>
          <w:sz w:val="24"/>
          <w:szCs w:val="24"/>
        </w:rPr>
        <w:t>, a relatively under-investigated subgroup of traumatic brain injury. All patients underwent standardized CT evaluation at admission, allowing comprehensive assessment of associated intracranial lesions. The dataset was systematically cleaned and standardized prior to analysis, reducing classification errors and improving data quality. Furthermore, multivariable logistic regression was performed to identify independent predictors of mortality while accounting for potential confounding variables. To our knowledge, this represents one of the largest single-center analyses of geriatric traumatic IVH reported from India.</w:t>
      </w:r>
      <w:r w:rsidR="001612B4">
        <w:rPr>
          <w:rFonts w:ascii="Times New Roman" w:hAnsi="Times New Roman" w:cs="Times New Roman"/>
          <w:sz w:val="24"/>
          <w:szCs w:val="24"/>
        </w:rPr>
        <w:t xml:space="preserve"> </w:t>
      </w:r>
      <w:r w:rsidRPr="004633A1">
        <w:rPr>
          <w:rFonts w:ascii="Times New Roman" w:hAnsi="Times New Roman" w:cs="Times New Roman"/>
          <w:sz w:val="24"/>
          <w:szCs w:val="24"/>
        </w:rPr>
        <w:t xml:space="preserve">Several limitations should be acknowledged. First, the retrospective single-center design is inherently susceptible to selection and information bias. Second, the relatively modest sample size limited statistical power and resulted in wide confidence intervals for some predictors, particularly those with sparse events. Third, only in-hospital mortality was evaluated; long-term neurological and functional outcomes such as the Glasgow Outcome Scale-Extended or modified Rankin Scale were unavailable. Fourth, important variables including anticoagulant use, frailty indices, </w:t>
      </w:r>
      <w:proofErr w:type="spellStart"/>
      <w:r w:rsidRPr="004633A1">
        <w:rPr>
          <w:rFonts w:ascii="Times New Roman" w:hAnsi="Times New Roman" w:cs="Times New Roman"/>
          <w:sz w:val="24"/>
          <w:szCs w:val="24"/>
        </w:rPr>
        <w:t>premorbid</w:t>
      </w:r>
      <w:proofErr w:type="spellEnd"/>
      <w:r w:rsidRPr="004633A1">
        <w:rPr>
          <w:rFonts w:ascii="Times New Roman" w:hAnsi="Times New Roman" w:cs="Times New Roman"/>
          <w:sz w:val="24"/>
          <w:szCs w:val="24"/>
        </w:rPr>
        <w:t xml:space="preserve"> functional status, timing of surgery, hematoma volume, and detailed </w:t>
      </w:r>
      <w:proofErr w:type="spellStart"/>
      <w:r w:rsidRPr="004633A1">
        <w:rPr>
          <w:rFonts w:ascii="Times New Roman" w:hAnsi="Times New Roman" w:cs="Times New Roman"/>
          <w:sz w:val="24"/>
          <w:szCs w:val="24"/>
        </w:rPr>
        <w:t>intraventricular</w:t>
      </w:r>
      <w:proofErr w:type="spellEnd"/>
      <w:r w:rsidRPr="004633A1">
        <w:rPr>
          <w:rFonts w:ascii="Times New Roman" w:hAnsi="Times New Roman" w:cs="Times New Roman"/>
          <w:sz w:val="24"/>
          <w:szCs w:val="24"/>
        </w:rPr>
        <w:t xml:space="preserve"> hemorrhage grading were not consistently available and therefore could not be incorporated into the regression model. Finally, external validation was not performed, and therefore the identified predictors should be confirmed in larger prospective multicenter studies before widespread clinical application.</w:t>
      </w:r>
    </w:p>
    <w:p w:rsidR="004633A1" w:rsidRPr="00A32C9C" w:rsidRDefault="004633A1" w:rsidP="004633A1">
      <w:pPr>
        <w:jc w:val="both"/>
        <w:rPr>
          <w:rFonts w:ascii="Times New Roman" w:hAnsi="Times New Roman" w:cs="Times New Roman"/>
          <w:b/>
          <w:bCs/>
          <w:sz w:val="24"/>
          <w:szCs w:val="24"/>
        </w:rPr>
      </w:pPr>
      <w:r w:rsidRPr="00A32C9C">
        <w:rPr>
          <w:rFonts w:ascii="Times New Roman" w:hAnsi="Times New Roman" w:cs="Times New Roman"/>
          <w:b/>
          <w:bCs/>
          <w:sz w:val="24"/>
          <w:szCs w:val="24"/>
        </w:rPr>
        <w:t>Conclusion</w:t>
      </w:r>
    </w:p>
    <w:p w:rsidR="004633A1" w:rsidRPr="004633A1" w:rsidRDefault="004633A1" w:rsidP="004633A1">
      <w:pPr>
        <w:jc w:val="both"/>
        <w:rPr>
          <w:rFonts w:ascii="Times New Roman" w:hAnsi="Times New Roman" w:cs="Times New Roman"/>
          <w:sz w:val="24"/>
          <w:szCs w:val="24"/>
        </w:rPr>
      </w:pPr>
      <w:r w:rsidRPr="004633A1">
        <w:rPr>
          <w:rFonts w:ascii="Times New Roman" w:hAnsi="Times New Roman" w:cs="Times New Roman"/>
          <w:sz w:val="24"/>
          <w:szCs w:val="24"/>
        </w:rPr>
        <w:t xml:space="preserve">Geriatric patients with traumatic </w:t>
      </w:r>
      <w:proofErr w:type="spellStart"/>
      <w:r w:rsidRPr="004633A1">
        <w:rPr>
          <w:rFonts w:ascii="Times New Roman" w:hAnsi="Times New Roman" w:cs="Times New Roman"/>
          <w:sz w:val="24"/>
          <w:szCs w:val="24"/>
        </w:rPr>
        <w:t>intraventricular</w:t>
      </w:r>
      <w:proofErr w:type="spellEnd"/>
      <w:r w:rsidRPr="004633A1">
        <w:rPr>
          <w:rFonts w:ascii="Times New Roman" w:hAnsi="Times New Roman" w:cs="Times New Roman"/>
          <w:sz w:val="24"/>
          <w:szCs w:val="24"/>
        </w:rPr>
        <w:t xml:space="preserve"> hemorrhage experience exceptionally high in-hospital mortality. Among the radiological variables evaluated, </w:t>
      </w:r>
      <w:r w:rsidRPr="004633A1">
        <w:rPr>
          <w:rFonts w:ascii="Times New Roman" w:hAnsi="Times New Roman" w:cs="Times New Roman"/>
          <w:bCs/>
          <w:sz w:val="24"/>
          <w:szCs w:val="24"/>
        </w:rPr>
        <w:t>associated subarachnoid hemorrhage and concomitant subdural hematoma emerged as independent predictors of mortality</w:t>
      </w:r>
      <w:r w:rsidRPr="004633A1">
        <w:rPr>
          <w:rFonts w:ascii="Times New Roman" w:hAnsi="Times New Roman" w:cs="Times New Roman"/>
          <w:sz w:val="24"/>
          <w:szCs w:val="24"/>
        </w:rPr>
        <w:t xml:space="preserve">, underscoring the importance of evaluating associated intracranial injuries rather than considering </w:t>
      </w:r>
      <w:proofErr w:type="spellStart"/>
      <w:r w:rsidRPr="004633A1">
        <w:rPr>
          <w:rFonts w:ascii="Times New Roman" w:hAnsi="Times New Roman" w:cs="Times New Roman"/>
          <w:sz w:val="24"/>
          <w:szCs w:val="24"/>
        </w:rPr>
        <w:t>intraventricular</w:t>
      </w:r>
      <w:proofErr w:type="spellEnd"/>
      <w:r w:rsidRPr="004633A1">
        <w:rPr>
          <w:rFonts w:ascii="Times New Roman" w:hAnsi="Times New Roman" w:cs="Times New Roman"/>
          <w:sz w:val="24"/>
          <w:szCs w:val="24"/>
        </w:rPr>
        <w:t xml:space="preserve"> hemorrhage in isolation. Early recognition of these high-risk imaging features may facilitate more accurate prognostic stratification, timely neurosurgical decision-making, and optimization of critical care management. Prospective multicenter studies incorporating detailed radiological severity scores and long-term functional outcomes are warranted to validate these findings and refine prognostic models for this increasingly important patient population.</w:t>
      </w:r>
    </w:p>
    <w:p w:rsidR="004633A1" w:rsidRPr="004633A1" w:rsidRDefault="004633A1" w:rsidP="004633A1">
      <w:pPr>
        <w:jc w:val="both"/>
        <w:rPr>
          <w:rFonts w:ascii="Times New Roman" w:hAnsi="Times New Roman" w:cs="Times New Roman"/>
          <w:bCs/>
          <w:sz w:val="24"/>
          <w:szCs w:val="24"/>
        </w:rPr>
      </w:pPr>
      <w:r w:rsidRPr="00A32C9C">
        <w:rPr>
          <w:rFonts w:ascii="Times New Roman" w:hAnsi="Times New Roman" w:cs="Times New Roman"/>
          <w:bCs/>
          <w:sz w:val="24"/>
          <w:szCs w:val="24"/>
        </w:rPr>
        <w:t>References</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t xml:space="preserve">1. Maas AIR, </w:t>
      </w:r>
      <w:proofErr w:type="spellStart"/>
      <w:r w:rsidRPr="00A32C9C">
        <w:rPr>
          <w:rFonts w:ascii="Times New Roman" w:hAnsi="Times New Roman" w:cs="Times New Roman"/>
          <w:bCs/>
          <w:sz w:val="24"/>
          <w:szCs w:val="24"/>
        </w:rPr>
        <w:t>Menon</w:t>
      </w:r>
      <w:proofErr w:type="spellEnd"/>
      <w:r w:rsidRPr="00A32C9C">
        <w:rPr>
          <w:rFonts w:ascii="Times New Roman" w:hAnsi="Times New Roman" w:cs="Times New Roman"/>
          <w:bCs/>
          <w:sz w:val="24"/>
          <w:szCs w:val="24"/>
        </w:rPr>
        <w:t xml:space="preserve"> DK, </w:t>
      </w:r>
      <w:proofErr w:type="spellStart"/>
      <w:r w:rsidRPr="00A32C9C">
        <w:rPr>
          <w:rFonts w:ascii="Times New Roman" w:hAnsi="Times New Roman" w:cs="Times New Roman"/>
          <w:bCs/>
          <w:sz w:val="24"/>
          <w:szCs w:val="24"/>
        </w:rPr>
        <w:t>Adelson</w:t>
      </w:r>
      <w:proofErr w:type="spellEnd"/>
      <w:r w:rsidRPr="00A32C9C">
        <w:rPr>
          <w:rFonts w:ascii="Times New Roman" w:hAnsi="Times New Roman" w:cs="Times New Roman"/>
          <w:bCs/>
          <w:sz w:val="24"/>
          <w:szCs w:val="24"/>
        </w:rPr>
        <w:t xml:space="preserve"> PD, </w:t>
      </w:r>
      <w:proofErr w:type="spellStart"/>
      <w:r w:rsidRPr="00A32C9C">
        <w:rPr>
          <w:rFonts w:ascii="Times New Roman" w:hAnsi="Times New Roman" w:cs="Times New Roman"/>
          <w:bCs/>
          <w:sz w:val="24"/>
          <w:szCs w:val="24"/>
        </w:rPr>
        <w:t>Andelic</w:t>
      </w:r>
      <w:proofErr w:type="spellEnd"/>
      <w:r w:rsidRPr="00A32C9C">
        <w:rPr>
          <w:rFonts w:ascii="Times New Roman" w:hAnsi="Times New Roman" w:cs="Times New Roman"/>
          <w:bCs/>
          <w:sz w:val="24"/>
          <w:szCs w:val="24"/>
        </w:rPr>
        <w:t xml:space="preserve"> N, Bell MJ, </w:t>
      </w:r>
      <w:proofErr w:type="gramStart"/>
      <w:r w:rsidRPr="00A32C9C">
        <w:rPr>
          <w:rFonts w:ascii="Times New Roman" w:hAnsi="Times New Roman" w:cs="Times New Roman"/>
          <w:bCs/>
          <w:sz w:val="24"/>
          <w:szCs w:val="24"/>
        </w:rPr>
        <w:t>Belli</w:t>
      </w:r>
      <w:proofErr w:type="gramEnd"/>
      <w:r w:rsidRPr="00A32C9C">
        <w:rPr>
          <w:rFonts w:ascii="Times New Roman" w:hAnsi="Times New Roman" w:cs="Times New Roman"/>
          <w:bCs/>
          <w:sz w:val="24"/>
          <w:szCs w:val="24"/>
        </w:rPr>
        <w:t xml:space="preserve"> A, et al. Traumatic brain injury: integrated approaches to improve prevention, clinical care, and research. </w:t>
      </w:r>
      <w:r w:rsidRPr="00A32C9C">
        <w:rPr>
          <w:rFonts w:ascii="Times New Roman" w:hAnsi="Times New Roman" w:cs="Times New Roman"/>
          <w:bCs/>
          <w:i/>
          <w:iCs/>
          <w:sz w:val="24"/>
          <w:szCs w:val="24"/>
        </w:rPr>
        <w:t>Lancet Neurol.</w:t>
      </w:r>
      <w:r w:rsidRPr="00A32C9C">
        <w:rPr>
          <w:rFonts w:ascii="Times New Roman" w:hAnsi="Times New Roman" w:cs="Times New Roman"/>
          <w:bCs/>
          <w:sz w:val="24"/>
          <w:szCs w:val="24"/>
        </w:rPr>
        <w:t xml:space="preserve"> 2017</w:t>
      </w:r>
      <w:proofErr w:type="gramStart"/>
      <w:r w:rsidRPr="00A32C9C">
        <w:rPr>
          <w:rFonts w:ascii="Times New Roman" w:hAnsi="Times New Roman" w:cs="Times New Roman"/>
          <w:bCs/>
          <w:sz w:val="24"/>
          <w:szCs w:val="24"/>
        </w:rPr>
        <w:t>;16</w:t>
      </w:r>
      <w:proofErr w:type="gramEnd"/>
      <w:r w:rsidRPr="00A32C9C">
        <w:rPr>
          <w:rFonts w:ascii="Times New Roman" w:hAnsi="Times New Roman" w:cs="Times New Roman"/>
          <w:bCs/>
          <w:sz w:val="24"/>
          <w:szCs w:val="24"/>
        </w:rPr>
        <w:t>(12):987-1048.</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lastRenderedPageBreak/>
        <w:t xml:space="preserve">2. Gardner RC, Dams-O'Connor K, Morrissey MR, Manley GT. Geriatric traumatic brain injury: epidemiology, outcomes, knowledge gaps, and future directions. </w:t>
      </w:r>
      <w:proofErr w:type="gramStart"/>
      <w:r w:rsidRPr="00A32C9C">
        <w:rPr>
          <w:rFonts w:ascii="Times New Roman" w:hAnsi="Times New Roman" w:cs="Times New Roman"/>
          <w:bCs/>
          <w:i/>
          <w:iCs/>
          <w:sz w:val="24"/>
          <w:szCs w:val="24"/>
        </w:rPr>
        <w:t xml:space="preserve">J </w:t>
      </w:r>
      <w:proofErr w:type="spellStart"/>
      <w:r w:rsidRPr="00A32C9C">
        <w:rPr>
          <w:rFonts w:ascii="Times New Roman" w:hAnsi="Times New Roman" w:cs="Times New Roman"/>
          <w:bCs/>
          <w:i/>
          <w:iCs/>
          <w:sz w:val="24"/>
          <w:szCs w:val="24"/>
        </w:rPr>
        <w:t>Neurotrauma</w:t>
      </w:r>
      <w:proofErr w:type="spellEnd"/>
      <w:r w:rsidRPr="00A32C9C">
        <w:rPr>
          <w:rFonts w:ascii="Times New Roman" w:hAnsi="Times New Roman" w:cs="Times New Roman"/>
          <w:bCs/>
          <w:i/>
          <w:iCs/>
          <w:sz w:val="24"/>
          <w:szCs w:val="24"/>
        </w:rPr>
        <w:t>.</w:t>
      </w:r>
      <w:proofErr w:type="gramEnd"/>
      <w:r w:rsidRPr="00A32C9C">
        <w:rPr>
          <w:rFonts w:ascii="Times New Roman" w:hAnsi="Times New Roman" w:cs="Times New Roman"/>
          <w:bCs/>
          <w:sz w:val="24"/>
          <w:szCs w:val="24"/>
        </w:rPr>
        <w:t xml:space="preserve"> 2018</w:t>
      </w:r>
      <w:proofErr w:type="gramStart"/>
      <w:r w:rsidRPr="00A32C9C">
        <w:rPr>
          <w:rFonts w:ascii="Times New Roman" w:hAnsi="Times New Roman" w:cs="Times New Roman"/>
          <w:bCs/>
          <w:sz w:val="24"/>
          <w:szCs w:val="24"/>
        </w:rPr>
        <w:t>;35</w:t>
      </w:r>
      <w:proofErr w:type="gramEnd"/>
      <w:r w:rsidRPr="00A32C9C">
        <w:rPr>
          <w:rFonts w:ascii="Times New Roman" w:hAnsi="Times New Roman" w:cs="Times New Roman"/>
          <w:bCs/>
          <w:sz w:val="24"/>
          <w:szCs w:val="24"/>
        </w:rPr>
        <w:t>(7):889-906.</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t xml:space="preserve">3. </w:t>
      </w:r>
      <w:proofErr w:type="spellStart"/>
      <w:r w:rsidRPr="00A32C9C">
        <w:rPr>
          <w:rFonts w:ascii="Times New Roman" w:hAnsi="Times New Roman" w:cs="Times New Roman"/>
          <w:bCs/>
          <w:sz w:val="24"/>
          <w:szCs w:val="24"/>
        </w:rPr>
        <w:t>Roozenbeek</w:t>
      </w:r>
      <w:proofErr w:type="spellEnd"/>
      <w:r w:rsidRPr="00A32C9C">
        <w:rPr>
          <w:rFonts w:ascii="Times New Roman" w:hAnsi="Times New Roman" w:cs="Times New Roman"/>
          <w:bCs/>
          <w:sz w:val="24"/>
          <w:szCs w:val="24"/>
        </w:rPr>
        <w:t xml:space="preserve"> B, Maas AIR, </w:t>
      </w:r>
      <w:proofErr w:type="spellStart"/>
      <w:r w:rsidRPr="00A32C9C">
        <w:rPr>
          <w:rFonts w:ascii="Times New Roman" w:hAnsi="Times New Roman" w:cs="Times New Roman"/>
          <w:bCs/>
          <w:sz w:val="24"/>
          <w:szCs w:val="24"/>
        </w:rPr>
        <w:t>Menon</w:t>
      </w:r>
      <w:proofErr w:type="spellEnd"/>
      <w:r w:rsidRPr="00A32C9C">
        <w:rPr>
          <w:rFonts w:ascii="Times New Roman" w:hAnsi="Times New Roman" w:cs="Times New Roman"/>
          <w:bCs/>
          <w:sz w:val="24"/>
          <w:szCs w:val="24"/>
        </w:rPr>
        <w:t xml:space="preserve"> DK. Changing patterns in the epidemiology of traumatic brain injury. </w:t>
      </w:r>
      <w:r w:rsidRPr="00A32C9C">
        <w:rPr>
          <w:rFonts w:ascii="Times New Roman" w:hAnsi="Times New Roman" w:cs="Times New Roman"/>
          <w:bCs/>
          <w:i/>
          <w:iCs/>
          <w:sz w:val="24"/>
          <w:szCs w:val="24"/>
        </w:rPr>
        <w:t>Nat Rev Neurol.</w:t>
      </w:r>
      <w:r w:rsidRPr="00A32C9C">
        <w:rPr>
          <w:rFonts w:ascii="Times New Roman" w:hAnsi="Times New Roman" w:cs="Times New Roman"/>
          <w:bCs/>
          <w:sz w:val="24"/>
          <w:szCs w:val="24"/>
        </w:rPr>
        <w:t xml:space="preserve"> 2013</w:t>
      </w:r>
      <w:proofErr w:type="gramStart"/>
      <w:r w:rsidRPr="00A32C9C">
        <w:rPr>
          <w:rFonts w:ascii="Times New Roman" w:hAnsi="Times New Roman" w:cs="Times New Roman"/>
          <w:bCs/>
          <w:sz w:val="24"/>
          <w:szCs w:val="24"/>
        </w:rPr>
        <w:t>;9</w:t>
      </w:r>
      <w:proofErr w:type="gramEnd"/>
      <w:r w:rsidRPr="00A32C9C">
        <w:rPr>
          <w:rFonts w:ascii="Times New Roman" w:hAnsi="Times New Roman" w:cs="Times New Roman"/>
          <w:bCs/>
          <w:sz w:val="24"/>
          <w:szCs w:val="24"/>
        </w:rPr>
        <w:t>(4):231-236.</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t xml:space="preserve">4. </w:t>
      </w:r>
      <w:proofErr w:type="spellStart"/>
      <w:r w:rsidRPr="00A32C9C">
        <w:rPr>
          <w:rFonts w:ascii="Times New Roman" w:hAnsi="Times New Roman" w:cs="Times New Roman"/>
          <w:bCs/>
          <w:sz w:val="24"/>
          <w:szCs w:val="24"/>
        </w:rPr>
        <w:t>Shibahashi</w:t>
      </w:r>
      <w:proofErr w:type="spellEnd"/>
      <w:r w:rsidRPr="00A32C9C">
        <w:rPr>
          <w:rFonts w:ascii="Times New Roman" w:hAnsi="Times New Roman" w:cs="Times New Roman"/>
          <w:bCs/>
          <w:sz w:val="24"/>
          <w:szCs w:val="24"/>
        </w:rPr>
        <w:t xml:space="preserve"> K, Sugiyama K, Okura Y, </w:t>
      </w:r>
      <w:proofErr w:type="spellStart"/>
      <w:r w:rsidRPr="00A32C9C">
        <w:rPr>
          <w:rFonts w:ascii="Times New Roman" w:hAnsi="Times New Roman" w:cs="Times New Roman"/>
          <w:bCs/>
          <w:sz w:val="24"/>
          <w:szCs w:val="24"/>
        </w:rPr>
        <w:t>Hoda</w:t>
      </w:r>
      <w:proofErr w:type="spellEnd"/>
      <w:r w:rsidRPr="00A32C9C">
        <w:rPr>
          <w:rFonts w:ascii="Times New Roman" w:hAnsi="Times New Roman" w:cs="Times New Roman"/>
          <w:bCs/>
          <w:sz w:val="24"/>
          <w:szCs w:val="24"/>
        </w:rPr>
        <w:t xml:space="preserve"> H, </w:t>
      </w:r>
      <w:proofErr w:type="spellStart"/>
      <w:r w:rsidRPr="00A32C9C">
        <w:rPr>
          <w:rFonts w:ascii="Times New Roman" w:hAnsi="Times New Roman" w:cs="Times New Roman"/>
          <w:bCs/>
          <w:sz w:val="24"/>
          <w:szCs w:val="24"/>
        </w:rPr>
        <w:t>Hamabe</w:t>
      </w:r>
      <w:proofErr w:type="spellEnd"/>
      <w:r w:rsidRPr="00A32C9C">
        <w:rPr>
          <w:rFonts w:ascii="Times New Roman" w:hAnsi="Times New Roman" w:cs="Times New Roman"/>
          <w:bCs/>
          <w:sz w:val="24"/>
          <w:szCs w:val="24"/>
        </w:rPr>
        <w:t xml:space="preserve"> Y. </w:t>
      </w:r>
      <w:proofErr w:type="spellStart"/>
      <w:r w:rsidRPr="00A32C9C">
        <w:rPr>
          <w:rFonts w:ascii="Times New Roman" w:hAnsi="Times New Roman" w:cs="Times New Roman"/>
          <w:bCs/>
          <w:sz w:val="24"/>
          <w:szCs w:val="24"/>
        </w:rPr>
        <w:t>Intraventricular</w:t>
      </w:r>
      <w:proofErr w:type="spellEnd"/>
      <w:r w:rsidRPr="00A32C9C">
        <w:rPr>
          <w:rFonts w:ascii="Times New Roman" w:hAnsi="Times New Roman" w:cs="Times New Roman"/>
          <w:bCs/>
          <w:sz w:val="24"/>
          <w:szCs w:val="24"/>
        </w:rPr>
        <w:t xml:space="preserve"> hemorrhage after head injury: a multicenter retrospective cohort study. </w:t>
      </w:r>
      <w:proofErr w:type="gramStart"/>
      <w:r w:rsidRPr="00A32C9C">
        <w:rPr>
          <w:rFonts w:ascii="Times New Roman" w:hAnsi="Times New Roman" w:cs="Times New Roman"/>
          <w:bCs/>
          <w:i/>
          <w:iCs/>
          <w:sz w:val="24"/>
          <w:szCs w:val="24"/>
        </w:rPr>
        <w:t xml:space="preserve">World </w:t>
      </w:r>
      <w:proofErr w:type="spellStart"/>
      <w:r w:rsidRPr="00A32C9C">
        <w:rPr>
          <w:rFonts w:ascii="Times New Roman" w:hAnsi="Times New Roman" w:cs="Times New Roman"/>
          <w:bCs/>
          <w:i/>
          <w:iCs/>
          <w:sz w:val="24"/>
          <w:szCs w:val="24"/>
        </w:rPr>
        <w:t>Neurosurg</w:t>
      </w:r>
      <w:proofErr w:type="spellEnd"/>
      <w:r w:rsidRPr="00A32C9C">
        <w:rPr>
          <w:rFonts w:ascii="Times New Roman" w:hAnsi="Times New Roman" w:cs="Times New Roman"/>
          <w:bCs/>
          <w:i/>
          <w:iCs/>
          <w:sz w:val="24"/>
          <w:szCs w:val="24"/>
        </w:rPr>
        <w:t>.</w:t>
      </w:r>
      <w:proofErr w:type="gramEnd"/>
      <w:r w:rsidRPr="00A32C9C">
        <w:rPr>
          <w:rFonts w:ascii="Times New Roman" w:hAnsi="Times New Roman" w:cs="Times New Roman"/>
          <w:bCs/>
          <w:sz w:val="24"/>
          <w:szCs w:val="24"/>
        </w:rPr>
        <w:t xml:space="preserve"> 2018</w:t>
      </w:r>
      <w:proofErr w:type="gramStart"/>
      <w:r w:rsidRPr="00A32C9C">
        <w:rPr>
          <w:rFonts w:ascii="Times New Roman" w:hAnsi="Times New Roman" w:cs="Times New Roman"/>
          <w:bCs/>
          <w:sz w:val="24"/>
          <w:szCs w:val="24"/>
        </w:rPr>
        <w:t>;115:e647</w:t>
      </w:r>
      <w:proofErr w:type="gramEnd"/>
      <w:r w:rsidRPr="00A32C9C">
        <w:rPr>
          <w:rFonts w:ascii="Times New Roman" w:hAnsi="Times New Roman" w:cs="Times New Roman"/>
          <w:bCs/>
          <w:sz w:val="24"/>
          <w:szCs w:val="24"/>
        </w:rPr>
        <w:t>-e652.</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t xml:space="preserve">5. Li CY, Chuang CC, Chen CC, </w:t>
      </w:r>
      <w:proofErr w:type="spellStart"/>
      <w:r w:rsidRPr="00A32C9C">
        <w:rPr>
          <w:rFonts w:ascii="Times New Roman" w:hAnsi="Times New Roman" w:cs="Times New Roman"/>
          <w:bCs/>
          <w:sz w:val="24"/>
          <w:szCs w:val="24"/>
        </w:rPr>
        <w:t>Tu</w:t>
      </w:r>
      <w:proofErr w:type="spellEnd"/>
      <w:r w:rsidRPr="00A32C9C">
        <w:rPr>
          <w:rFonts w:ascii="Times New Roman" w:hAnsi="Times New Roman" w:cs="Times New Roman"/>
          <w:bCs/>
          <w:sz w:val="24"/>
          <w:szCs w:val="24"/>
        </w:rPr>
        <w:t xml:space="preserve"> PH, Wang YC, </w:t>
      </w:r>
      <w:proofErr w:type="spellStart"/>
      <w:r w:rsidRPr="00A32C9C">
        <w:rPr>
          <w:rFonts w:ascii="Times New Roman" w:hAnsi="Times New Roman" w:cs="Times New Roman"/>
          <w:bCs/>
          <w:sz w:val="24"/>
          <w:szCs w:val="24"/>
        </w:rPr>
        <w:t>Yeap</w:t>
      </w:r>
      <w:proofErr w:type="spellEnd"/>
      <w:r w:rsidRPr="00A32C9C">
        <w:rPr>
          <w:rFonts w:ascii="Times New Roman" w:hAnsi="Times New Roman" w:cs="Times New Roman"/>
          <w:bCs/>
          <w:sz w:val="24"/>
          <w:szCs w:val="24"/>
        </w:rPr>
        <w:t xml:space="preserve"> MC, et al. The role of </w:t>
      </w:r>
      <w:proofErr w:type="spellStart"/>
      <w:r w:rsidRPr="00A32C9C">
        <w:rPr>
          <w:rFonts w:ascii="Times New Roman" w:hAnsi="Times New Roman" w:cs="Times New Roman"/>
          <w:bCs/>
          <w:sz w:val="24"/>
          <w:szCs w:val="24"/>
        </w:rPr>
        <w:t>intraventricular</w:t>
      </w:r>
      <w:proofErr w:type="spellEnd"/>
      <w:r w:rsidRPr="00A32C9C">
        <w:rPr>
          <w:rFonts w:ascii="Times New Roman" w:hAnsi="Times New Roman" w:cs="Times New Roman"/>
          <w:bCs/>
          <w:sz w:val="24"/>
          <w:szCs w:val="24"/>
        </w:rPr>
        <w:t xml:space="preserve"> hemorrhage in traumatic brain injury: a novel scoring system. </w:t>
      </w:r>
      <w:r w:rsidRPr="00A32C9C">
        <w:rPr>
          <w:rFonts w:ascii="Times New Roman" w:hAnsi="Times New Roman" w:cs="Times New Roman"/>
          <w:bCs/>
          <w:i/>
          <w:iCs/>
          <w:sz w:val="24"/>
          <w:szCs w:val="24"/>
        </w:rPr>
        <w:t xml:space="preserve">J </w:t>
      </w:r>
      <w:proofErr w:type="spellStart"/>
      <w:r w:rsidRPr="00A32C9C">
        <w:rPr>
          <w:rFonts w:ascii="Times New Roman" w:hAnsi="Times New Roman" w:cs="Times New Roman"/>
          <w:bCs/>
          <w:i/>
          <w:iCs/>
          <w:sz w:val="24"/>
          <w:szCs w:val="24"/>
        </w:rPr>
        <w:t>Clin</w:t>
      </w:r>
      <w:proofErr w:type="spellEnd"/>
      <w:r w:rsidRPr="00A32C9C">
        <w:rPr>
          <w:rFonts w:ascii="Times New Roman" w:hAnsi="Times New Roman" w:cs="Times New Roman"/>
          <w:bCs/>
          <w:i/>
          <w:iCs/>
          <w:sz w:val="24"/>
          <w:szCs w:val="24"/>
        </w:rPr>
        <w:t xml:space="preserve"> Med.</w:t>
      </w:r>
      <w:r w:rsidRPr="00A32C9C">
        <w:rPr>
          <w:rFonts w:ascii="Times New Roman" w:hAnsi="Times New Roman" w:cs="Times New Roman"/>
          <w:bCs/>
          <w:sz w:val="24"/>
          <w:szCs w:val="24"/>
        </w:rPr>
        <w:t xml:space="preserve"> 2022</w:t>
      </w:r>
      <w:proofErr w:type="gramStart"/>
      <w:r w:rsidRPr="00A32C9C">
        <w:rPr>
          <w:rFonts w:ascii="Times New Roman" w:hAnsi="Times New Roman" w:cs="Times New Roman"/>
          <w:bCs/>
          <w:sz w:val="24"/>
          <w:szCs w:val="24"/>
        </w:rPr>
        <w:t>;11</w:t>
      </w:r>
      <w:proofErr w:type="gramEnd"/>
      <w:r w:rsidRPr="00A32C9C">
        <w:rPr>
          <w:rFonts w:ascii="Times New Roman" w:hAnsi="Times New Roman" w:cs="Times New Roman"/>
          <w:bCs/>
          <w:sz w:val="24"/>
          <w:szCs w:val="24"/>
        </w:rPr>
        <w:t>(8):2127.</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t>6. Mata-</w:t>
      </w:r>
      <w:proofErr w:type="spellStart"/>
      <w:r w:rsidRPr="00A32C9C">
        <w:rPr>
          <w:rFonts w:ascii="Times New Roman" w:hAnsi="Times New Roman" w:cs="Times New Roman"/>
          <w:bCs/>
          <w:sz w:val="24"/>
          <w:szCs w:val="24"/>
        </w:rPr>
        <w:t>Mbemba</w:t>
      </w:r>
      <w:proofErr w:type="spellEnd"/>
      <w:r w:rsidRPr="00A32C9C">
        <w:rPr>
          <w:rFonts w:ascii="Times New Roman" w:hAnsi="Times New Roman" w:cs="Times New Roman"/>
          <w:bCs/>
          <w:sz w:val="24"/>
          <w:szCs w:val="24"/>
        </w:rPr>
        <w:t xml:space="preserve"> D, </w:t>
      </w:r>
      <w:proofErr w:type="spellStart"/>
      <w:r w:rsidRPr="00A32C9C">
        <w:rPr>
          <w:rFonts w:ascii="Times New Roman" w:hAnsi="Times New Roman" w:cs="Times New Roman"/>
          <w:bCs/>
          <w:sz w:val="24"/>
          <w:szCs w:val="24"/>
        </w:rPr>
        <w:t>Mugikura</w:t>
      </w:r>
      <w:proofErr w:type="spellEnd"/>
      <w:r w:rsidRPr="00A32C9C">
        <w:rPr>
          <w:rFonts w:ascii="Times New Roman" w:hAnsi="Times New Roman" w:cs="Times New Roman"/>
          <w:bCs/>
          <w:sz w:val="24"/>
          <w:szCs w:val="24"/>
        </w:rPr>
        <w:t xml:space="preserve"> S, Nakagawa A, Murata T, Kato Y, </w:t>
      </w:r>
      <w:proofErr w:type="spellStart"/>
      <w:r w:rsidRPr="00A32C9C">
        <w:rPr>
          <w:rFonts w:ascii="Times New Roman" w:hAnsi="Times New Roman" w:cs="Times New Roman"/>
          <w:bCs/>
          <w:sz w:val="24"/>
          <w:szCs w:val="24"/>
        </w:rPr>
        <w:t>Tatewaki</w:t>
      </w:r>
      <w:proofErr w:type="spellEnd"/>
      <w:r w:rsidRPr="00A32C9C">
        <w:rPr>
          <w:rFonts w:ascii="Times New Roman" w:hAnsi="Times New Roman" w:cs="Times New Roman"/>
          <w:bCs/>
          <w:sz w:val="24"/>
          <w:szCs w:val="24"/>
        </w:rPr>
        <w:t xml:space="preserve"> Y, et al. </w:t>
      </w:r>
      <w:proofErr w:type="spellStart"/>
      <w:r w:rsidRPr="00A32C9C">
        <w:rPr>
          <w:rFonts w:ascii="Times New Roman" w:hAnsi="Times New Roman" w:cs="Times New Roman"/>
          <w:bCs/>
          <w:sz w:val="24"/>
          <w:szCs w:val="24"/>
        </w:rPr>
        <w:t>Intraventricular</w:t>
      </w:r>
      <w:proofErr w:type="spellEnd"/>
      <w:r w:rsidRPr="00A32C9C">
        <w:rPr>
          <w:rFonts w:ascii="Times New Roman" w:hAnsi="Times New Roman" w:cs="Times New Roman"/>
          <w:bCs/>
          <w:sz w:val="24"/>
          <w:szCs w:val="24"/>
        </w:rPr>
        <w:t xml:space="preserve"> hemorrhage on initial computed tomography as a marker of diffuse axonal injury after traumatic brain injury. </w:t>
      </w:r>
      <w:proofErr w:type="gramStart"/>
      <w:r w:rsidRPr="00A32C9C">
        <w:rPr>
          <w:rFonts w:ascii="Times New Roman" w:hAnsi="Times New Roman" w:cs="Times New Roman"/>
          <w:bCs/>
          <w:i/>
          <w:iCs/>
          <w:sz w:val="24"/>
          <w:szCs w:val="24"/>
        </w:rPr>
        <w:t xml:space="preserve">J </w:t>
      </w:r>
      <w:proofErr w:type="spellStart"/>
      <w:r w:rsidRPr="00A32C9C">
        <w:rPr>
          <w:rFonts w:ascii="Times New Roman" w:hAnsi="Times New Roman" w:cs="Times New Roman"/>
          <w:bCs/>
          <w:i/>
          <w:iCs/>
          <w:sz w:val="24"/>
          <w:szCs w:val="24"/>
        </w:rPr>
        <w:t>Neurotrauma</w:t>
      </w:r>
      <w:proofErr w:type="spellEnd"/>
      <w:r w:rsidRPr="00A32C9C">
        <w:rPr>
          <w:rFonts w:ascii="Times New Roman" w:hAnsi="Times New Roman" w:cs="Times New Roman"/>
          <w:bCs/>
          <w:i/>
          <w:iCs/>
          <w:sz w:val="24"/>
          <w:szCs w:val="24"/>
        </w:rPr>
        <w:t>.</w:t>
      </w:r>
      <w:proofErr w:type="gramEnd"/>
      <w:r w:rsidRPr="00A32C9C">
        <w:rPr>
          <w:rFonts w:ascii="Times New Roman" w:hAnsi="Times New Roman" w:cs="Times New Roman"/>
          <w:bCs/>
          <w:sz w:val="24"/>
          <w:szCs w:val="24"/>
        </w:rPr>
        <w:t xml:space="preserve"> 2015</w:t>
      </w:r>
      <w:proofErr w:type="gramStart"/>
      <w:r w:rsidRPr="00A32C9C">
        <w:rPr>
          <w:rFonts w:ascii="Times New Roman" w:hAnsi="Times New Roman" w:cs="Times New Roman"/>
          <w:bCs/>
          <w:sz w:val="24"/>
          <w:szCs w:val="24"/>
        </w:rPr>
        <w:t>;32</w:t>
      </w:r>
      <w:proofErr w:type="gramEnd"/>
      <w:r w:rsidRPr="00A32C9C">
        <w:rPr>
          <w:rFonts w:ascii="Times New Roman" w:hAnsi="Times New Roman" w:cs="Times New Roman"/>
          <w:bCs/>
          <w:sz w:val="24"/>
          <w:szCs w:val="24"/>
        </w:rPr>
        <w:t>(7):508-514.</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t xml:space="preserve">7. </w:t>
      </w:r>
      <w:proofErr w:type="spellStart"/>
      <w:r w:rsidRPr="00A32C9C">
        <w:rPr>
          <w:rFonts w:ascii="Times New Roman" w:hAnsi="Times New Roman" w:cs="Times New Roman"/>
          <w:bCs/>
          <w:sz w:val="24"/>
          <w:szCs w:val="24"/>
        </w:rPr>
        <w:t>Cepeda</w:t>
      </w:r>
      <w:proofErr w:type="spellEnd"/>
      <w:r w:rsidRPr="00A32C9C">
        <w:rPr>
          <w:rFonts w:ascii="Times New Roman" w:hAnsi="Times New Roman" w:cs="Times New Roman"/>
          <w:bCs/>
          <w:sz w:val="24"/>
          <w:szCs w:val="24"/>
        </w:rPr>
        <w:t xml:space="preserve"> S, </w:t>
      </w:r>
      <w:proofErr w:type="spellStart"/>
      <w:r w:rsidRPr="00A32C9C">
        <w:rPr>
          <w:rFonts w:ascii="Times New Roman" w:hAnsi="Times New Roman" w:cs="Times New Roman"/>
          <w:bCs/>
          <w:sz w:val="24"/>
          <w:szCs w:val="24"/>
        </w:rPr>
        <w:t>Gómez</w:t>
      </w:r>
      <w:proofErr w:type="spellEnd"/>
      <w:r w:rsidRPr="00A32C9C">
        <w:rPr>
          <w:rFonts w:ascii="Times New Roman" w:hAnsi="Times New Roman" w:cs="Times New Roman"/>
          <w:bCs/>
          <w:sz w:val="24"/>
          <w:szCs w:val="24"/>
        </w:rPr>
        <w:t xml:space="preserve"> PA, </w:t>
      </w:r>
      <w:proofErr w:type="spellStart"/>
      <w:r w:rsidRPr="00A32C9C">
        <w:rPr>
          <w:rFonts w:ascii="Times New Roman" w:hAnsi="Times New Roman" w:cs="Times New Roman"/>
          <w:bCs/>
          <w:sz w:val="24"/>
          <w:szCs w:val="24"/>
        </w:rPr>
        <w:t>Castaño</w:t>
      </w:r>
      <w:proofErr w:type="spellEnd"/>
      <w:r w:rsidRPr="00A32C9C">
        <w:rPr>
          <w:rFonts w:ascii="Times New Roman" w:hAnsi="Times New Roman" w:cs="Times New Roman"/>
          <w:bCs/>
          <w:sz w:val="24"/>
          <w:szCs w:val="24"/>
        </w:rPr>
        <w:t xml:space="preserve"> AM, </w:t>
      </w:r>
      <w:proofErr w:type="spellStart"/>
      <w:r w:rsidRPr="00A32C9C">
        <w:rPr>
          <w:rFonts w:ascii="Times New Roman" w:hAnsi="Times New Roman" w:cs="Times New Roman"/>
          <w:bCs/>
          <w:sz w:val="24"/>
          <w:szCs w:val="24"/>
        </w:rPr>
        <w:t>Martínez-Pérez</w:t>
      </w:r>
      <w:proofErr w:type="spellEnd"/>
      <w:r w:rsidRPr="00A32C9C">
        <w:rPr>
          <w:rFonts w:ascii="Times New Roman" w:hAnsi="Times New Roman" w:cs="Times New Roman"/>
          <w:bCs/>
          <w:sz w:val="24"/>
          <w:szCs w:val="24"/>
        </w:rPr>
        <w:t xml:space="preserve"> R, </w:t>
      </w:r>
      <w:proofErr w:type="spellStart"/>
      <w:r w:rsidRPr="00A32C9C">
        <w:rPr>
          <w:rFonts w:ascii="Times New Roman" w:hAnsi="Times New Roman" w:cs="Times New Roman"/>
          <w:bCs/>
          <w:sz w:val="24"/>
          <w:szCs w:val="24"/>
        </w:rPr>
        <w:t>Munarriz</w:t>
      </w:r>
      <w:proofErr w:type="spellEnd"/>
      <w:r w:rsidRPr="00A32C9C">
        <w:rPr>
          <w:rFonts w:ascii="Times New Roman" w:hAnsi="Times New Roman" w:cs="Times New Roman"/>
          <w:bCs/>
          <w:sz w:val="24"/>
          <w:szCs w:val="24"/>
        </w:rPr>
        <w:t xml:space="preserve"> PM, </w:t>
      </w:r>
      <w:proofErr w:type="spellStart"/>
      <w:r w:rsidRPr="00A32C9C">
        <w:rPr>
          <w:rFonts w:ascii="Times New Roman" w:hAnsi="Times New Roman" w:cs="Times New Roman"/>
          <w:bCs/>
          <w:sz w:val="24"/>
          <w:szCs w:val="24"/>
        </w:rPr>
        <w:t>Lagares</w:t>
      </w:r>
      <w:proofErr w:type="spellEnd"/>
      <w:r w:rsidRPr="00A32C9C">
        <w:rPr>
          <w:rFonts w:ascii="Times New Roman" w:hAnsi="Times New Roman" w:cs="Times New Roman"/>
          <w:bCs/>
          <w:sz w:val="24"/>
          <w:szCs w:val="24"/>
        </w:rPr>
        <w:t xml:space="preserve"> A. Traumatic </w:t>
      </w:r>
      <w:proofErr w:type="spellStart"/>
      <w:r w:rsidRPr="00A32C9C">
        <w:rPr>
          <w:rFonts w:ascii="Times New Roman" w:hAnsi="Times New Roman" w:cs="Times New Roman"/>
          <w:bCs/>
          <w:sz w:val="24"/>
          <w:szCs w:val="24"/>
        </w:rPr>
        <w:t>intracerebral</w:t>
      </w:r>
      <w:proofErr w:type="spellEnd"/>
      <w:r w:rsidRPr="00A32C9C">
        <w:rPr>
          <w:rFonts w:ascii="Times New Roman" w:hAnsi="Times New Roman" w:cs="Times New Roman"/>
          <w:bCs/>
          <w:sz w:val="24"/>
          <w:szCs w:val="24"/>
        </w:rPr>
        <w:t xml:space="preserve"> hemorrhage: risk factors associated with progression. </w:t>
      </w:r>
      <w:proofErr w:type="gramStart"/>
      <w:r w:rsidRPr="00A32C9C">
        <w:rPr>
          <w:rFonts w:ascii="Times New Roman" w:hAnsi="Times New Roman" w:cs="Times New Roman"/>
          <w:bCs/>
          <w:i/>
          <w:iCs/>
          <w:sz w:val="24"/>
          <w:szCs w:val="24"/>
        </w:rPr>
        <w:t xml:space="preserve">J </w:t>
      </w:r>
      <w:proofErr w:type="spellStart"/>
      <w:r w:rsidRPr="00A32C9C">
        <w:rPr>
          <w:rFonts w:ascii="Times New Roman" w:hAnsi="Times New Roman" w:cs="Times New Roman"/>
          <w:bCs/>
          <w:i/>
          <w:iCs/>
          <w:sz w:val="24"/>
          <w:szCs w:val="24"/>
        </w:rPr>
        <w:t>Neurotrauma</w:t>
      </w:r>
      <w:proofErr w:type="spellEnd"/>
      <w:r w:rsidRPr="00A32C9C">
        <w:rPr>
          <w:rFonts w:ascii="Times New Roman" w:hAnsi="Times New Roman" w:cs="Times New Roman"/>
          <w:bCs/>
          <w:i/>
          <w:iCs/>
          <w:sz w:val="24"/>
          <w:szCs w:val="24"/>
        </w:rPr>
        <w:t>.</w:t>
      </w:r>
      <w:proofErr w:type="gramEnd"/>
      <w:r w:rsidRPr="00A32C9C">
        <w:rPr>
          <w:rFonts w:ascii="Times New Roman" w:hAnsi="Times New Roman" w:cs="Times New Roman"/>
          <w:bCs/>
          <w:sz w:val="24"/>
          <w:szCs w:val="24"/>
        </w:rPr>
        <w:t xml:space="preserve"> 2015</w:t>
      </w:r>
      <w:proofErr w:type="gramStart"/>
      <w:r w:rsidRPr="00A32C9C">
        <w:rPr>
          <w:rFonts w:ascii="Times New Roman" w:hAnsi="Times New Roman" w:cs="Times New Roman"/>
          <w:bCs/>
          <w:sz w:val="24"/>
          <w:szCs w:val="24"/>
        </w:rPr>
        <w:t>;32</w:t>
      </w:r>
      <w:proofErr w:type="gramEnd"/>
      <w:r w:rsidRPr="00A32C9C">
        <w:rPr>
          <w:rFonts w:ascii="Times New Roman" w:hAnsi="Times New Roman" w:cs="Times New Roman"/>
          <w:bCs/>
          <w:sz w:val="24"/>
          <w:szCs w:val="24"/>
        </w:rPr>
        <w:t>(16):1246-1253.</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t xml:space="preserve">8. van </w:t>
      </w:r>
      <w:proofErr w:type="spellStart"/>
      <w:r w:rsidRPr="00A32C9C">
        <w:rPr>
          <w:rFonts w:ascii="Times New Roman" w:hAnsi="Times New Roman" w:cs="Times New Roman"/>
          <w:bCs/>
          <w:sz w:val="24"/>
          <w:szCs w:val="24"/>
        </w:rPr>
        <w:t>Solinge</w:t>
      </w:r>
      <w:proofErr w:type="spellEnd"/>
      <w:r w:rsidRPr="00A32C9C">
        <w:rPr>
          <w:rFonts w:ascii="Times New Roman" w:hAnsi="Times New Roman" w:cs="Times New Roman"/>
          <w:bCs/>
          <w:sz w:val="24"/>
          <w:szCs w:val="24"/>
        </w:rPr>
        <w:t xml:space="preserve"> TS, </w:t>
      </w:r>
      <w:proofErr w:type="spellStart"/>
      <w:r w:rsidRPr="00A32C9C">
        <w:rPr>
          <w:rFonts w:ascii="Times New Roman" w:hAnsi="Times New Roman" w:cs="Times New Roman"/>
          <w:bCs/>
          <w:sz w:val="24"/>
          <w:szCs w:val="24"/>
        </w:rPr>
        <w:t>Muskens</w:t>
      </w:r>
      <w:proofErr w:type="spellEnd"/>
      <w:r w:rsidRPr="00A32C9C">
        <w:rPr>
          <w:rFonts w:ascii="Times New Roman" w:hAnsi="Times New Roman" w:cs="Times New Roman"/>
          <w:bCs/>
          <w:sz w:val="24"/>
          <w:szCs w:val="24"/>
        </w:rPr>
        <w:t xml:space="preserve"> IS, </w:t>
      </w:r>
      <w:proofErr w:type="spellStart"/>
      <w:r w:rsidRPr="00A32C9C">
        <w:rPr>
          <w:rFonts w:ascii="Times New Roman" w:hAnsi="Times New Roman" w:cs="Times New Roman"/>
          <w:bCs/>
          <w:sz w:val="24"/>
          <w:szCs w:val="24"/>
        </w:rPr>
        <w:t>Kavouridis</w:t>
      </w:r>
      <w:proofErr w:type="spellEnd"/>
      <w:r w:rsidRPr="00A32C9C">
        <w:rPr>
          <w:rFonts w:ascii="Times New Roman" w:hAnsi="Times New Roman" w:cs="Times New Roman"/>
          <w:bCs/>
          <w:sz w:val="24"/>
          <w:szCs w:val="24"/>
        </w:rPr>
        <w:t xml:space="preserve"> VK, </w:t>
      </w:r>
      <w:proofErr w:type="spellStart"/>
      <w:r w:rsidRPr="00A32C9C">
        <w:rPr>
          <w:rFonts w:ascii="Times New Roman" w:hAnsi="Times New Roman" w:cs="Times New Roman"/>
          <w:bCs/>
          <w:sz w:val="24"/>
          <w:szCs w:val="24"/>
        </w:rPr>
        <w:t>Gormley</w:t>
      </w:r>
      <w:proofErr w:type="spellEnd"/>
      <w:r w:rsidRPr="00A32C9C">
        <w:rPr>
          <w:rFonts w:ascii="Times New Roman" w:hAnsi="Times New Roman" w:cs="Times New Roman"/>
          <w:bCs/>
          <w:sz w:val="24"/>
          <w:szCs w:val="24"/>
        </w:rPr>
        <w:t xml:space="preserve"> WB, </w:t>
      </w:r>
      <w:proofErr w:type="spellStart"/>
      <w:r w:rsidRPr="00A32C9C">
        <w:rPr>
          <w:rFonts w:ascii="Times New Roman" w:hAnsi="Times New Roman" w:cs="Times New Roman"/>
          <w:bCs/>
          <w:sz w:val="24"/>
          <w:szCs w:val="24"/>
        </w:rPr>
        <w:t>Mekary</w:t>
      </w:r>
      <w:proofErr w:type="spellEnd"/>
      <w:r w:rsidRPr="00A32C9C">
        <w:rPr>
          <w:rFonts w:ascii="Times New Roman" w:hAnsi="Times New Roman" w:cs="Times New Roman"/>
          <w:bCs/>
          <w:sz w:val="24"/>
          <w:szCs w:val="24"/>
        </w:rPr>
        <w:t xml:space="preserve"> RA, </w:t>
      </w:r>
      <w:proofErr w:type="spellStart"/>
      <w:r w:rsidRPr="00A32C9C">
        <w:rPr>
          <w:rFonts w:ascii="Times New Roman" w:hAnsi="Times New Roman" w:cs="Times New Roman"/>
          <w:bCs/>
          <w:sz w:val="24"/>
          <w:szCs w:val="24"/>
        </w:rPr>
        <w:t>Broekman</w:t>
      </w:r>
      <w:proofErr w:type="spellEnd"/>
      <w:r w:rsidRPr="00A32C9C">
        <w:rPr>
          <w:rFonts w:ascii="Times New Roman" w:hAnsi="Times New Roman" w:cs="Times New Roman"/>
          <w:bCs/>
          <w:sz w:val="24"/>
          <w:szCs w:val="24"/>
        </w:rPr>
        <w:t xml:space="preserve"> MLD, et al. </w:t>
      </w:r>
      <w:proofErr w:type="spellStart"/>
      <w:r w:rsidRPr="00A32C9C">
        <w:rPr>
          <w:rFonts w:ascii="Times New Roman" w:hAnsi="Times New Roman" w:cs="Times New Roman"/>
          <w:bCs/>
          <w:sz w:val="24"/>
          <w:szCs w:val="24"/>
        </w:rPr>
        <w:t>Fibrinolytics</w:t>
      </w:r>
      <w:proofErr w:type="spellEnd"/>
      <w:r w:rsidRPr="00A32C9C">
        <w:rPr>
          <w:rFonts w:ascii="Times New Roman" w:hAnsi="Times New Roman" w:cs="Times New Roman"/>
          <w:bCs/>
          <w:sz w:val="24"/>
          <w:szCs w:val="24"/>
        </w:rPr>
        <w:t xml:space="preserve"> and </w:t>
      </w:r>
      <w:proofErr w:type="spellStart"/>
      <w:r w:rsidRPr="00A32C9C">
        <w:rPr>
          <w:rFonts w:ascii="Times New Roman" w:hAnsi="Times New Roman" w:cs="Times New Roman"/>
          <w:bCs/>
          <w:sz w:val="24"/>
          <w:szCs w:val="24"/>
        </w:rPr>
        <w:t>intraventricular</w:t>
      </w:r>
      <w:proofErr w:type="spellEnd"/>
      <w:r w:rsidRPr="00A32C9C">
        <w:rPr>
          <w:rFonts w:ascii="Times New Roman" w:hAnsi="Times New Roman" w:cs="Times New Roman"/>
          <w:bCs/>
          <w:sz w:val="24"/>
          <w:szCs w:val="24"/>
        </w:rPr>
        <w:t xml:space="preserve"> hemorrhage: a systematic review and meta-analysis. </w:t>
      </w:r>
      <w:proofErr w:type="spellStart"/>
      <w:r w:rsidRPr="00A32C9C">
        <w:rPr>
          <w:rFonts w:ascii="Times New Roman" w:hAnsi="Times New Roman" w:cs="Times New Roman"/>
          <w:bCs/>
          <w:i/>
          <w:iCs/>
          <w:sz w:val="24"/>
          <w:szCs w:val="24"/>
        </w:rPr>
        <w:t>Neurocrit</w:t>
      </w:r>
      <w:proofErr w:type="spellEnd"/>
      <w:r w:rsidRPr="00A32C9C">
        <w:rPr>
          <w:rFonts w:ascii="Times New Roman" w:hAnsi="Times New Roman" w:cs="Times New Roman"/>
          <w:bCs/>
          <w:i/>
          <w:iCs/>
          <w:sz w:val="24"/>
          <w:szCs w:val="24"/>
        </w:rPr>
        <w:t xml:space="preserve"> Care.</w:t>
      </w:r>
      <w:r w:rsidRPr="00A32C9C">
        <w:rPr>
          <w:rFonts w:ascii="Times New Roman" w:hAnsi="Times New Roman" w:cs="Times New Roman"/>
          <w:bCs/>
          <w:sz w:val="24"/>
          <w:szCs w:val="24"/>
        </w:rPr>
        <w:t xml:space="preserve"> 2020</w:t>
      </w:r>
      <w:proofErr w:type="gramStart"/>
      <w:r w:rsidRPr="00A32C9C">
        <w:rPr>
          <w:rFonts w:ascii="Times New Roman" w:hAnsi="Times New Roman" w:cs="Times New Roman"/>
          <w:bCs/>
          <w:sz w:val="24"/>
          <w:szCs w:val="24"/>
        </w:rPr>
        <w:t>;32</w:t>
      </w:r>
      <w:proofErr w:type="gramEnd"/>
      <w:r w:rsidRPr="00A32C9C">
        <w:rPr>
          <w:rFonts w:ascii="Times New Roman" w:hAnsi="Times New Roman" w:cs="Times New Roman"/>
          <w:bCs/>
          <w:sz w:val="24"/>
          <w:szCs w:val="24"/>
        </w:rPr>
        <w:t>(1):262-271.</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t xml:space="preserve">9. Gardner RC, Dams-O'Connor K, Morrissey MR, Manley GT. Geriatric traumatic brain injury: epidemiology, outcomes, knowledge gaps, and future directions. </w:t>
      </w:r>
      <w:proofErr w:type="gramStart"/>
      <w:r w:rsidRPr="00A32C9C">
        <w:rPr>
          <w:rFonts w:ascii="Times New Roman" w:hAnsi="Times New Roman" w:cs="Times New Roman"/>
          <w:bCs/>
          <w:i/>
          <w:iCs/>
          <w:sz w:val="24"/>
          <w:szCs w:val="24"/>
        </w:rPr>
        <w:t xml:space="preserve">J </w:t>
      </w:r>
      <w:proofErr w:type="spellStart"/>
      <w:r w:rsidRPr="00A32C9C">
        <w:rPr>
          <w:rFonts w:ascii="Times New Roman" w:hAnsi="Times New Roman" w:cs="Times New Roman"/>
          <w:bCs/>
          <w:i/>
          <w:iCs/>
          <w:sz w:val="24"/>
          <w:szCs w:val="24"/>
        </w:rPr>
        <w:t>Neurotrauma</w:t>
      </w:r>
      <w:proofErr w:type="spellEnd"/>
      <w:r w:rsidRPr="00A32C9C">
        <w:rPr>
          <w:rFonts w:ascii="Times New Roman" w:hAnsi="Times New Roman" w:cs="Times New Roman"/>
          <w:bCs/>
          <w:i/>
          <w:iCs/>
          <w:sz w:val="24"/>
          <w:szCs w:val="24"/>
        </w:rPr>
        <w:t>.</w:t>
      </w:r>
      <w:proofErr w:type="gramEnd"/>
      <w:r w:rsidRPr="00A32C9C">
        <w:rPr>
          <w:rFonts w:ascii="Times New Roman" w:hAnsi="Times New Roman" w:cs="Times New Roman"/>
          <w:bCs/>
          <w:sz w:val="24"/>
          <w:szCs w:val="24"/>
        </w:rPr>
        <w:t xml:space="preserve"> 2018</w:t>
      </w:r>
      <w:proofErr w:type="gramStart"/>
      <w:r w:rsidRPr="00A32C9C">
        <w:rPr>
          <w:rFonts w:ascii="Times New Roman" w:hAnsi="Times New Roman" w:cs="Times New Roman"/>
          <w:bCs/>
          <w:sz w:val="24"/>
          <w:szCs w:val="24"/>
        </w:rPr>
        <w:t>;35</w:t>
      </w:r>
      <w:proofErr w:type="gramEnd"/>
      <w:r w:rsidRPr="00A32C9C">
        <w:rPr>
          <w:rFonts w:ascii="Times New Roman" w:hAnsi="Times New Roman" w:cs="Times New Roman"/>
          <w:bCs/>
          <w:sz w:val="24"/>
          <w:szCs w:val="24"/>
        </w:rPr>
        <w:t>(7):889-906.</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t xml:space="preserve">10. </w:t>
      </w:r>
      <w:proofErr w:type="spellStart"/>
      <w:r w:rsidRPr="00A32C9C">
        <w:rPr>
          <w:rFonts w:ascii="Times New Roman" w:hAnsi="Times New Roman" w:cs="Times New Roman"/>
          <w:bCs/>
          <w:sz w:val="24"/>
          <w:szCs w:val="24"/>
        </w:rPr>
        <w:t>Shibahashi</w:t>
      </w:r>
      <w:proofErr w:type="spellEnd"/>
      <w:r w:rsidRPr="00A32C9C">
        <w:rPr>
          <w:rFonts w:ascii="Times New Roman" w:hAnsi="Times New Roman" w:cs="Times New Roman"/>
          <w:bCs/>
          <w:sz w:val="24"/>
          <w:szCs w:val="24"/>
        </w:rPr>
        <w:t xml:space="preserve"> K, Sugiyama K, Okura Y, </w:t>
      </w:r>
      <w:proofErr w:type="spellStart"/>
      <w:r w:rsidRPr="00A32C9C">
        <w:rPr>
          <w:rFonts w:ascii="Times New Roman" w:hAnsi="Times New Roman" w:cs="Times New Roman"/>
          <w:bCs/>
          <w:sz w:val="24"/>
          <w:szCs w:val="24"/>
        </w:rPr>
        <w:t>Hoda</w:t>
      </w:r>
      <w:proofErr w:type="spellEnd"/>
      <w:r w:rsidRPr="00A32C9C">
        <w:rPr>
          <w:rFonts w:ascii="Times New Roman" w:hAnsi="Times New Roman" w:cs="Times New Roman"/>
          <w:bCs/>
          <w:sz w:val="24"/>
          <w:szCs w:val="24"/>
        </w:rPr>
        <w:t xml:space="preserve"> H, </w:t>
      </w:r>
      <w:proofErr w:type="spellStart"/>
      <w:r w:rsidRPr="00A32C9C">
        <w:rPr>
          <w:rFonts w:ascii="Times New Roman" w:hAnsi="Times New Roman" w:cs="Times New Roman"/>
          <w:bCs/>
          <w:sz w:val="24"/>
          <w:szCs w:val="24"/>
        </w:rPr>
        <w:t>Hamabe</w:t>
      </w:r>
      <w:proofErr w:type="spellEnd"/>
      <w:r w:rsidRPr="00A32C9C">
        <w:rPr>
          <w:rFonts w:ascii="Times New Roman" w:hAnsi="Times New Roman" w:cs="Times New Roman"/>
          <w:bCs/>
          <w:sz w:val="24"/>
          <w:szCs w:val="24"/>
        </w:rPr>
        <w:t xml:space="preserve"> Y. </w:t>
      </w:r>
      <w:proofErr w:type="spellStart"/>
      <w:r w:rsidRPr="00A32C9C">
        <w:rPr>
          <w:rFonts w:ascii="Times New Roman" w:hAnsi="Times New Roman" w:cs="Times New Roman"/>
          <w:bCs/>
          <w:sz w:val="24"/>
          <w:szCs w:val="24"/>
        </w:rPr>
        <w:t>Intraventricular</w:t>
      </w:r>
      <w:proofErr w:type="spellEnd"/>
      <w:r w:rsidRPr="00A32C9C">
        <w:rPr>
          <w:rFonts w:ascii="Times New Roman" w:hAnsi="Times New Roman" w:cs="Times New Roman"/>
          <w:bCs/>
          <w:sz w:val="24"/>
          <w:szCs w:val="24"/>
        </w:rPr>
        <w:t xml:space="preserve"> hemorrhage after head injury: a multicenter retrospective cohort study. </w:t>
      </w:r>
      <w:proofErr w:type="gramStart"/>
      <w:r w:rsidRPr="00A32C9C">
        <w:rPr>
          <w:rFonts w:ascii="Times New Roman" w:hAnsi="Times New Roman" w:cs="Times New Roman"/>
          <w:bCs/>
          <w:i/>
          <w:iCs/>
          <w:sz w:val="24"/>
          <w:szCs w:val="24"/>
        </w:rPr>
        <w:t xml:space="preserve">World </w:t>
      </w:r>
      <w:proofErr w:type="spellStart"/>
      <w:r w:rsidRPr="00A32C9C">
        <w:rPr>
          <w:rFonts w:ascii="Times New Roman" w:hAnsi="Times New Roman" w:cs="Times New Roman"/>
          <w:bCs/>
          <w:i/>
          <w:iCs/>
          <w:sz w:val="24"/>
          <w:szCs w:val="24"/>
        </w:rPr>
        <w:t>Neurosurg</w:t>
      </w:r>
      <w:proofErr w:type="spellEnd"/>
      <w:r w:rsidRPr="00A32C9C">
        <w:rPr>
          <w:rFonts w:ascii="Times New Roman" w:hAnsi="Times New Roman" w:cs="Times New Roman"/>
          <w:bCs/>
          <w:i/>
          <w:iCs/>
          <w:sz w:val="24"/>
          <w:szCs w:val="24"/>
        </w:rPr>
        <w:t>.</w:t>
      </w:r>
      <w:proofErr w:type="gramEnd"/>
      <w:r w:rsidRPr="00A32C9C">
        <w:rPr>
          <w:rFonts w:ascii="Times New Roman" w:hAnsi="Times New Roman" w:cs="Times New Roman"/>
          <w:bCs/>
          <w:sz w:val="24"/>
          <w:szCs w:val="24"/>
        </w:rPr>
        <w:t xml:space="preserve"> 2018</w:t>
      </w:r>
      <w:proofErr w:type="gramStart"/>
      <w:r w:rsidRPr="00A32C9C">
        <w:rPr>
          <w:rFonts w:ascii="Times New Roman" w:hAnsi="Times New Roman" w:cs="Times New Roman"/>
          <w:bCs/>
          <w:sz w:val="24"/>
          <w:szCs w:val="24"/>
        </w:rPr>
        <w:t>;115:e647</w:t>
      </w:r>
      <w:proofErr w:type="gramEnd"/>
      <w:r w:rsidRPr="00A32C9C">
        <w:rPr>
          <w:rFonts w:ascii="Times New Roman" w:hAnsi="Times New Roman" w:cs="Times New Roman"/>
          <w:bCs/>
          <w:sz w:val="24"/>
          <w:szCs w:val="24"/>
        </w:rPr>
        <w:t>-e652.</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t xml:space="preserve">11. Li CY, Chuang CC, Chen CC, </w:t>
      </w:r>
      <w:proofErr w:type="spellStart"/>
      <w:r w:rsidRPr="00A32C9C">
        <w:rPr>
          <w:rFonts w:ascii="Times New Roman" w:hAnsi="Times New Roman" w:cs="Times New Roman"/>
          <w:bCs/>
          <w:sz w:val="24"/>
          <w:szCs w:val="24"/>
        </w:rPr>
        <w:t>Tu</w:t>
      </w:r>
      <w:proofErr w:type="spellEnd"/>
      <w:r w:rsidRPr="00A32C9C">
        <w:rPr>
          <w:rFonts w:ascii="Times New Roman" w:hAnsi="Times New Roman" w:cs="Times New Roman"/>
          <w:bCs/>
          <w:sz w:val="24"/>
          <w:szCs w:val="24"/>
        </w:rPr>
        <w:t xml:space="preserve"> PH, Wang YC, </w:t>
      </w:r>
      <w:proofErr w:type="spellStart"/>
      <w:r w:rsidRPr="00A32C9C">
        <w:rPr>
          <w:rFonts w:ascii="Times New Roman" w:hAnsi="Times New Roman" w:cs="Times New Roman"/>
          <w:bCs/>
          <w:sz w:val="24"/>
          <w:szCs w:val="24"/>
        </w:rPr>
        <w:t>Yeap</w:t>
      </w:r>
      <w:proofErr w:type="spellEnd"/>
      <w:r w:rsidRPr="00A32C9C">
        <w:rPr>
          <w:rFonts w:ascii="Times New Roman" w:hAnsi="Times New Roman" w:cs="Times New Roman"/>
          <w:bCs/>
          <w:sz w:val="24"/>
          <w:szCs w:val="24"/>
        </w:rPr>
        <w:t xml:space="preserve"> MC, et al. The role of </w:t>
      </w:r>
      <w:proofErr w:type="spellStart"/>
      <w:r w:rsidRPr="00A32C9C">
        <w:rPr>
          <w:rFonts w:ascii="Times New Roman" w:hAnsi="Times New Roman" w:cs="Times New Roman"/>
          <w:bCs/>
          <w:sz w:val="24"/>
          <w:szCs w:val="24"/>
        </w:rPr>
        <w:t>intraventricular</w:t>
      </w:r>
      <w:proofErr w:type="spellEnd"/>
      <w:r w:rsidRPr="00A32C9C">
        <w:rPr>
          <w:rFonts w:ascii="Times New Roman" w:hAnsi="Times New Roman" w:cs="Times New Roman"/>
          <w:bCs/>
          <w:sz w:val="24"/>
          <w:szCs w:val="24"/>
        </w:rPr>
        <w:t xml:space="preserve"> hemorrhage in traumatic brain injury: a novel scoring system. </w:t>
      </w:r>
      <w:r w:rsidRPr="00A32C9C">
        <w:rPr>
          <w:rFonts w:ascii="Times New Roman" w:hAnsi="Times New Roman" w:cs="Times New Roman"/>
          <w:bCs/>
          <w:i/>
          <w:iCs/>
          <w:sz w:val="24"/>
          <w:szCs w:val="24"/>
        </w:rPr>
        <w:t xml:space="preserve">J </w:t>
      </w:r>
      <w:proofErr w:type="spellStart"/>
      <w:r w:rsidRPr="00A32C9C">
        <w:rPr>
          <w:rFonts w:ascii="Times New Roman" w:hAnsi="Times New Roman" w:cs="Times New Roman"/>
          <w:bCs/>
          <w:i/>
          <w:iCs/>
          <w:sz w:val="24"/>
          <w:szCs w:val="24"/>
        </w:rPr>
        <w:t>Clin</w:t>
      </w:r>
      <w:proofErr w:type="spellEnd"/>
      <w:r w:rsidRPr="00A32C9C">
        <w:rPr>
          <w:rFonts w:ascii="Times New Roman" w:hAnsi="Times New Roman" w:cs="Times New Roman"/>
          <w:bCs/>
          <w:i/>
          <w:iCs/>
          <w:sz w:val="24"/>
          <w:szCs w:val="24"/>
        </w:rPr>
        <w:t xml:space="preserve"> Med.</w:t>
      </w:r>
      <w:r w:rsidRPr="00A32C9C">
        <w:rPr>
          <w:rFonts w:ascii="Times New Roman" w:hAnsi="Times New Roman" w:cs="Times New Roman"/>
          <w:bCs/>
          <w:sz w:val="24"/>
          <w:szCs w:val="24"/>
        </w:rPr>
        <w:t xml:space="preserve"> 2022</w:t>
      </w:r>
      <w:proofErr w:type="gramStart"/>
      <w:r w:rsidRPr="00A32C9C">
        <w:rPr>
          <w:rFonts w:ascii="Times New Roman" w:hAnsi="Times New Roman" w:cs="Times New Roman"/>
          <w:bCs/>
          <w:sz w:val="24"/>
          <w:szCs w:val="24"/>
        </w:rPr>
        <w:t>;11</w:t>
      </w:r>
      <w:proofErr w:type="gramEnd"/>
      <w:r w:rsidRPr="00A32C9C">
        <w:rPr>
          <w:rFonts w:ascii="Times New Roman" w:hAnsi="Times New Roman" w:cs="Times New Roman"/>
          <w:bCs/>
          <w:sz w:val="24"/>
          <w:szCs w:val="24"/>
        </w:rPr>
        <w:t>(8):2127.</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t>12. Mata-</w:t>
      </w:r>
      <w:proofErr w:type="spellStart"/>
      <w:r w:rsidRPr="00A32C9C">
        <w:rPr>
          <w:rFonts w:ascii="Times New Roman" w:hAnsi="Times New Roman" w:cs="Times New Roman"/>
          <w:bCs/>
          <w:sz w:val="24"/>
          <w:szCs w:val="24"/>
        </w:rPr>
        <w:t>Mbemba</w:t>
      </w:r>
      <w:proofErr w:type="spellEnd"/>
      <w:r w:rsidRPr="00A32C9C">
        <w:rPr>
          <w:rFonts w:ascii="Times New Roman" w:hAnsi="Times New Roman" w:cs="Times New Roman"/>
          <w:bCs/>
          <w:sz w:val="24"/>
          <w:szCs w:val="24"/>
        </w:rPr>
        <w:t xml:space="preserve"> D, </w:t>
      </w:r>
      <w:proofErr w:type="spellStart"/>
      <w:r w:rsidRPr="00A32C9C">
        <w:rPr>
          <w:rFonts w:ascii="Times New Roman" w:hAnsi="Times New Roman" w:cs="Times New Roman"/>
          <w:bCs/>
          <w:sz w:val="24"/>
          <w:szCs w:val="24"/>
        </w:rPr>
        <w:t>Mugikura</w:t>
      </w:r>
      <w:proofErr w:type="spellEnd"/>
      <w:r w:rsidRPr="00A32C9C">
        <w:rPr>
          <w:rFonts w:ascii="Times New Roman" w:hAnsi="Times New Roman" w:cs="Times New Roman"/>
          <w:bCs/>
          <w:sz w:val="24"/>
          <w:szCs w:val="24"/>
        </w:rPr>
        <w:t xml:space="preserve"> S, Nakagawa A, Murata T, Kato Y, </w:t>
      </w:r>
      <w:proofErr w:type="spellStart"/>
      <w:r w:rsidRPr="00A32C9C">
        <w:rPr>
          <w:rFonts w:ascii="Times New Roman" w:hAnsi="Times New Roman" w:cs="Times New Roman"/>
          <w:bCs/>
          <w:sz w:val="24"/>
          <w:szCs w:val="24"/>
        </w:rPr>
        <w:t>Tatewaki</w:t>
      </w:r>
      <w:proofErr w:type="spellEnd"/>
      <w:r w:rsidRPr="00A32C9C">
        <w:rPr>
          <w:rFonts w:ascii="Times New Roman" w:hAnsi="Times New Roman" w:cs="Times New Roman"/>
          <w:bCs/>
          <w:sz w:val="24"/>
          <w:szCs w:val="24"/>
        </w:rPr>
        <w:t xml:space="preserve"> Y, et al. </w:t>
      </w:r>
      <w:proofErr w:type="spellStart"/>
      <w:r w:rsidRPr="00A32C9C">
        <w:rPr>
          <w:rFonts w:ascii="Times New Roman" w:hAnsi="Times New Roman" w:cs="Times New Roman"/>
          <w:bCs/>
          <w:sz w:val="24"/>
          <w:szCs w:val="24"/>
        </w:rPr>
        <w:t>Intraventricular</w:t>
      </w:r>
      <w:proofErr w:type="spellEnd"/>
      <w:r w:rsidRPr="00A32C9C">
        <w:rPr>
          <w:rFonts w:ascii="Times New Roman" w:hAnsi="Times New Roman" w:cs="Times New Roman"/>
          <w:bCs/>
          <w:sz w:val="24"/>
          <w:szCs w:val="24"/>
        </w:rPr>
        <w:t xml:space="preserve"> hemorrhage on initial computed tomography as a marker of diffuse axonal injury after traumatic brain injury. </w:t>
      </w:r>
      <w:proofErr w:type="gramStart"/>
      <w:r w:rsidRPr="00A32C9C">
        <w:rPr>
          <w:rFonts w:ascii="Times New Roman" w:hAnsi="Times New Roman" w:cs="Times New Roman"/>
          <w:bCs/>
          <w:i/>
          <w:iCs/>
          <w:sz w:val="24"/>
          <w:szCs w:val="24"/>
        </w:rPr>
        <w:t xml:space="preserve">J </w:t>
      </w:r>
      <w:proofErr w:type="spellStart"/>
      <w:r w:rsidRPr="00A32C9C">
        <w:rPr>
          <w:rFonts w:ascii="Times New Roman" w:hAnsi="Times New Roman" w:cs="Times New Roman"/>
          <w:bCs/>
          <w:i/>
          <w:iCs/>
          <w:sz w:val="24"/>
          <w:szCs w:val="24"/>
        </w:rPr>
        <w:t>Neurotrauma</w:t>
      </w:r>
      <w:proofErr w:type="spellEnd"/>
      <w:r w:rsidRPr="00A32C9C">
        <w:rPr>
          <w:rFonts w:ascii="Times New Roman" w:hAnsi="Times New Roman" w:cs="Times New Roman"/>
          <w:bCs/>
          <w:i/>
          <w:iCs/>
          <w:sz w:val="24"/>
          <w:szCs w:val="24"/>
        </w:rPr>
        <w:t>.</w:t>
      </w:r>
      <w:proofErr w:type="gramEnd"/>
      <w:r w:rsidRPr="00A32C9C">
        <w:rPr>
          <w:rFonts w:ascii="Times New Roman" w:hAnsi="Times New Roman" w:cs="Times New Roman"/>
          <w:bCs/>
          <w:sz w:val="24"/>
          <w:szCs w:val="24"/>
        </w:rPr>
        <w:t xml:space="preserve"> 2015</w:t>
      </w:r>
      <w:proofErr w:type="gramStart"/>
      <w:r w:rsidRPr="00A32C9C">
        <w:rPr>
          <w:rFonts w:ascii="Times New Roman" w:hAnsi="Times New Roman" w:cs="Times New Roman"/>
          <w:bCs/>
          <w:sz w:val="24"/>
          <w:szCs w:val="24"/>
        </w:rPr>
        <w:t>;32</w:t>
      </w:r>
      <w:proofErr w:type="gramEnd"/>
      <w:r w:rsidRPr="00A32C9C">
        <w:rPr>
          <w:rFonts w:ascii="Times New Roman" w:hAnsi="Times New Roman" w:cs="Times New Roman"/>
          <w:bCs/>
          <w:sz w:val="24"/>
          <w:szCs w:val="24"/>
        </w:rPr>
        <w:t>(7):508-514.</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t xml:space="preserve">13. Fukuda T, </w:t>
      </w:r>
      <w:proofErr w:type="spellStart"/>
      <w:r w:rsidRPr="00A32C9C">
        <w:rPr>
          <w:rFonts w:ascii="Times New Roman" w:hAnsi="Times New Roman" w:cs="Times New Roman"/>
          <w:bCs/>
          <w:sz w:val="24"/>
          <w:szCs w:val="24"/>
        </w:rPr>
        <w:t>Hasue</w:t>
      </w:r>
      <w:proofErr w:type="spellEnd"/>
      <w:r w:rsidRPr="00A32C9C">
        <w:rPr>
          <w:rFonts w:ascii="Times New Roman" w:hAnsi="Times New Roman" w:cs="Times New Roman"/>
          <w:bCs/>
          <w:sz w:val="24"/>
          <w:szCs w:val="24"/>
        </w:rPr>
        <w:t xml:space="preserve"> M, Ito H, et al. Prognostic significance of traumatic subarachnoid hemorrhage in traumatic brain injury. </w:t>
      </w:r>
      <w:proofErr w:type="gramStart"/>
      <w:r w:rsidRPr="00A32C9C">
        <w:rPr>
          <w:rFonts w:ascii="Times New Roman" w:hAnsi="Times New Roman" w:cs="Times New Roman"/>
          <w:bCs/>
          <w:i/>
          <w:iCs/>
          <w:sz w:val="24"/>
          <w:szCs w:val="24"/>
        </w:rPr>
        <w:t>J Trauma.</w:t>
      </w:r>
      <w:proofErr w:type="gramEnd"/>
      <w:r w:rsidRPr="00A32C9C">
        <w:rPr>
          <w:rFonts w:ascii="Times New Roman" w:hAnsi="Times New Roman" w:cs="Times New Roman"/>
          <w:bCs/>
          <w:sz w:val="24"/>
          <w:szCs w:val="24"/>
        </w:rPr>
        <w:t xml:space="preserve"> 2011</w:t>
      </w:r>
      <w:proofErr w:type="gramStart"/>
      <w:r w:rsidRPr="00A32C9C">
        <w:rPr>
          <w:rFonts w:ascii="Times New Roman" w:hAnsi="Times New Roman" w:cs="Times New Roman"/>
          <w:bCs/>
          <w:sz w:val="24"/>
          <w:szCs w:val="24"/>
        </w:rPr>
        <w:t>;70:1243</w:t>
      </w:r>
      <w:proofErr w:type="gramEnd"/>
      <w:r w:rsidRPr="00A32C9C">
        <w:rPr>
          <w:rFonts w:ascii="Times New Roman" w:hAnsi="Times New Roman" w:cs="Times New Roman"/>
          <w:bCs/>
          <w:sz w:val="24"/>
          <w:szCs w:val="24"/>
        </w:rPr>
        <w:t>-1249.</w:t>
      </w:r>
    </w:p>
    <w:p w:rsidR="00A32C9C" w:rsidRPr="00A32C9C" w:rsidRDefault="00A32C9C" w:rsidP="00A32C9C">
      <w:pPr>
        <w:jc w:val="both"/>
        <w:rPr>
          <w:rFonts w:ascii="Times New Roman" w:hAnsi="Times New Roman" w:cs="Times New Roman"/>
          <w:bCs/>
          <w:sz w:val="24"/>
          <w:szCs w:val="24"/>
        </w:rPr>
      </w:pPr>
      <w:proofErr w:type="gramStart"/>
      <w:r w:rsidRPr="00A32C9C">
        <w:rPr>
          <w:rFonts w:ascii="Times New Roman" w:hAnsi="Times New Roman" w:cs="Times New Roman"/>
          <w:bCs/>
          <w:sz w:val="24"/>
          <w:szCs w:val="24"/>
        </w:rPr>
        <w:t xml:space="preserve">14. van </w:t>
      </w:r>
      <w:proofErr w:type="spellStart"/>
      <w:r w:rsidRPr="00A32C9C">
        <w:rPr>
          <w:rFonts w:ascii="Times New Roman" w:hAnsi="Times New Roman" w:cs="Times New Roman"/>
          <w:bCs/>
          <w:sz w:val="24"/>
          <w:szCs w:val="24"/>
        </w:rPr>
        <w:t>Gijn</w:t>
      </w:r>
      <w:proofErr w:type="spellEnd"/>
      <w:r w:rsidRPr="00A32C9C">
        <w:rPr>
          <w:rFonts w:ascii="Times New Roman" w:hAnsi="Times New Roman" w:cs="Times New Roman"/>
          <w:bCs/>
          <w:sz w:val="24"/>
          <w:szCs w:val="24"/>
        </w:rPr>
        <w:t xml:space="preserve"> J, Kerr RS, </w:t>
      </w:r>
      <w:proofErr w:type="spellStart"/>
      <w:r w:rsidRPr="00A32C9C">
        <w:rPr>
          <w:rFonts w:ascii="Times New Roman" w:hAnsi="Times New Roman" w:cs="Times New Roman"/>
          <w:bCs/>
          <w:sz w:val="24"/>
          <w:szCs w:val="24"/>
        </w:rPr>
        <w:t>Rinkel</w:t>
      </w:r>
      <w:proofErr w:type="spellEnd"/>
      <w:r w:rsidRPr="00A32C9C">
        <w:rPr>
          <w:rFonts w:ascii="Times New Roman" w:hAnsi="Times New Roman" w:cs="Times New Roman"/>
          <w:bCs/>
          <w:sz w:val="24"/>
          <w:szCs w:val="24"/>
        </w:rPr>
        <w:t xml:space="preserve"> GJE.</w:t>
      </w:r>
      <w:proofErr w:type="gramEnd"/>
      <w:r w:rsidRPr="00A32C9C">
        <w:rPr>
          <w:rFonts w:ascii="Times New Roman" w:hAnsi="Times New Roman" w:cs="Times New Roman"/>
          <w:bCs/>
          <w:sz w:val="24"/>
          <w:szCs w:val="24"/>
        </w:rPr>
        <w:t xml:space="preserve"> </w:t>
      </w:r>
      <w:proofErr w:type="gramStart"/>
      <w:r w:rsidRPr="00A32C9C">
        <w:rPr>
          <w:rFonts w:ascii="Times New Roman" w:hAnsi="Times New Roman" w:cs="Times New Roman"/>
          <w:bCs/>
          <w:sz w:val="24"/>
          <w:szCs w:val="24"/>
        </w:rPr>
        <w:t xml:space="preserve">Subarachnoid </w:t>
      </w:r>
      <w:proofErr w:type="spellStart"/>
      <w:r w:rsidRPr="00A32C9C">
        <w:rPr>
          <w:rFonts w:ascii="Times New Roman" w:hAnsi="Times New Roman" w:cs="Times New Roman"/>
          <w:bCs/>
          <w:sz w:val="24"/>
          <w:szCs w:val="24"/>
        </w:rPr>
        <w:t>haemorrhage</w:t>
      </w:r>
      <w:proofErr w:type="spellEnd"/>
      <w:r w:rsidRPr="00A32C9C">
        <w:rPr>
          <w:rFonts w:ascii="Times New Roman" w:hAnsi="Times New Roman" w:cs="Times New Roman"/>
          <w:bCs/>
          <w:sz w:val="24"/>
          <w:szCs w:val="24"/>
        </w:rPr>
        <w:t>.</w:t>
      </w:r>
      <w:proofErr w:type="gramEnd"/>
      <w:r w:rsidRPr="00A32C9C">
        <w:rPr>
          <w:rFonts w:ascii="Times New Roman" w:hAnsi="Times New Roman" w:cs="Times New Roman"/>
          <w:bCs/>
          <w:sz w:val="24"/>
          <w:szCs w:val="24"/>
        </w:rPr>
        <w:t xml:space="preserve"> </w:t>
      </w:r>
      <w:proofErr w:type="gramStart"/>
      <w:r w:rsidRPr="00A32C9C">
        <w:rPr>
          <w:rFonts w:ascii="Times New Roman" w:hAnsi="Times New Roman" w:cs="Times New Roman"/>
          <w:bCs/>
          <w:i/>
          <w:iCs/>
          <w:sz w:val="24"/>
          <w:szCs w:val="24"/>
        </w:rPr>
        <w:t>Lancet.</w:t>
      </w:r>
      <w:proofErr w:type="gramEnd"/>
      <w:r w:rsidRPr="00A32C9C">
        <w:rPr>
          <w:rFonts w:ascii="Times New Roman" w:hAnsi="Times New Roman" w:cs="Times New Roman"/>
          <w:bCs/>
          <w:sz w:val="24"/>
          <w:szCs w:val="24"/>
        </w:rPr>
        <w:t xml:space="preserve"> 2007</w:t>
      </w:r>
      <w:proofErr w:type="gramStart"/>
      <w:r w:rsidRPr="00A32C9C">
        <w:rPr>
          <w:rFonts w:ascii="Times New Roman" w:hAnsi="Times New Roman" w:cs="Times New Roman"/>
          <w:bCs/>
          <w:sz w:val="24"/>
          <w:szCs w:val="24"/>
        </w:rPr>
        <w:t>;369:306</w:t>
      </w:r>
      <w:proofErr w:type="gramEnd"/>
      <w:r w:rsidRPr="00A32C9C">
        <w:rPr>
          <w:rFonts w:ascii="Times New Roman" w:hAnsi="Times New Roman" w:cs="Times New Roman"/>
          <w:bCs/>
          <w:sz w:val="24"/>
          <w:szCs w:val="24"/>
        </w:rPr>
        <w:t>-318.</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lastRenderedPageBreak/>
        <w:t xml:space="preserve">15. Macdonald RL. </w:t>
      </w:r>
      <w:proofErr w:type="gramStart"/>
      <w:r w:rsidRPr="00A32C9C">
        <w:rPr>
          <w:rFonts w:ascii="Times New Roman" w:hAnsi="Times New Roman" w:cs="Times New Roman"/>
          <w:bCs/>
          <w:sz w:val="24"/>
          <w:szCs w:val="24"/>
        </w:rPr>
        <w:t xml:space="preserve">Delayed neurological deterioration after subarachnoid </w:t>
      </w:r>
      <w:proofErr w:type="spellStart"/>
      <w:r w:rsidRPr="00A32C9C">
        <w:rPr>
          <w:rFonts w:ascii="Times New Roman" w:hAnsi="Times New Roman" w:cs="Times New Roman"/>
          <w:bCs/>
          <w:sz w:val="24"/>
          <w:szCs w:val="24"/>
        </w:rPr>
        <w:t>haemorrhage</w:t>
      </w:r>
      <w:proofErr w:type="spellEnd"/>
      <w:r w:rsidRPr="00A32C9C">
        <w:rPr>
          <w:rFonts w:ascii="Times New Roman" w:hAnsi="Times New Roman" w:cs="Times New Roman"/>
          <w:bCs/>
          <w:sz w:val="24"/>
          <w:szCs w:val="24"/>
        </w:rPr>
        <w:t>.</w:t>
      </w:r>
      <w:proofErr w:type="gramEnd"/>
      <w:r w:rsidRPr="00A32C9C">
        <w:rPr>
          <w:rFonts w:ascii="Times New Roman" w:hAnsi="Times New Roman" w:cs="Times New Roman"/>
          <w:bCs/>
          <w:sz w:val="24"/>
          <w:szCs w:val="24"/>
        </w:rPr>
        <w:t xml:space="preserve"> </w:t>
      </w:r>
      <w:r w:rsidRPr="00A32C9C">
        <w:rPr>
          <w:rFonts w:ascii="Times New Roman" w:hAnsi="Times New Roman" w:cs="Times New Roman"/>
          <w:bCs/>
          <w:i/>
          <w:iCs/>
          <w:sz w:val="24"/>
          <w:szCs w:val="24"/>
        </w:rPr>
        <w:t>Nat Rev Neurol.</w:t>
      </w:r>
      <w:r w:rsidRPr="00A32C9C">
        <w:rPr>
          <w:rFonts w:ascii="Times New Roman" w:hAnsi="Times New Roman" w:cs="Times New Roman"/>
          <w:bCs/>
          <w:sz w:val="24"/>
          <w:szCs w:val="24"/>
        </w:rPr>
        <w:t xml:space="preserve"> 2014</w:t>
      </w:r>
      <w:proofErr w:type="gramStart"/>
      <w:r w:rsidRPr="00A32C9C">
        <w:rPr>
          <w:rFonts w:ascii="Times New Roman" w:hAnsi="Times New Roman" w:cs="Times New Roman"/>
          <w:bCs/>
          <w:sz w:val="24"/>
          <w:szCs w:val="24"/>
        </w:rPr>
        <w:t>;10:44</w:t>
      </w:r>
      <w:proofErr w:type="gramEnd"/>
      <w:r w:rsidRPr="00A32C9C">
        <w:rPr>
          <w:rFonts w:ascii="Times New Roman" w:hAnsi="Times New Roman" w:cs="Times New Roman"/>
          <w:bCs/>
          <w:sz w:val="24"/>
          <w:szCs w:val="24"/>
        </w:rPr>
        <w:t>-58.</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t xml:space="preserve">16. Bullock MR, </w:t>
      </w:r>
      <w:proofErr w:type="spellStart"/>
      <w:r w:rsidRPr="00A32C9C">
        <w:rPr>
          <w:rFonts w:ascii="Times New Roman" w:hAnsi="Times New Roman" w:cs="Times New Roman"/>
          <w:bCs/>
          <w:sz w:val="24"/>
          <w:szCs w:val="24"/>
        </w:rPr>
        <w:t>Chesnut</w:t>
      </w:r>
      <w:proofErr w:type="spellEnd"/>
      <w:r w:rsidRPr="00A32C9C">
        <w:rPr>
          <w:rFonts w:ascii="Times New Roman" w:hAnsi="Times New Roman" w:cs="Times New Roman"/>
          <w:bCs/>
          <w:sz w:val="24"/>
          <w:szCs w:val="24"/>
        </w:rPr>
        <w:t xml:space="preserve"> R, </w:t>
      </w:r>
      <w:proofErr w:type="spellStart"/>
      <w:r w:rsidRPr="00A32C9C">
        <w:rPr>
          <w:rFonts w:ascii="Times New Roman" w:hAnsi="Times New Roman" w:cs="Times New Roman"/>
          <w:bCs/>
          <w:sz w:val="24"/>
          <w:szCs w:val="24"/>
        </w:rPr>
        <w:t>Ghajar</w:t>
      </w:r>
      <w:proofErr w:type="spellEnd"/>
      <w:r w:rsidRPr="00A32C9C">
        <w:rPr>
          <w:rFonts w:ascii="Times New Roman" w:hAnsi="Times New Roman" w:cs="Times New Roman"/>
          <w:bCs/>
          <w:sz w:val="24"/>
          <w:szCs w:val="24"/>
        </w:rPr>
        <w:t xml:space="preserve"> J, et al. Surgical management of acute subdural hematomas. </w:t>
      </w:r>
      <w:proofErr w:type="gramStart"/>
      <w:r w:rsidRPr="00A32C9C">
        <w:rPr>
          <w:rFonts w:ascii="Times New Roman" w:hAnsi="Times New Roman" w:cs="Times New Roman"/>
          <w:bCs/>
          <w:i/>
          <w:iCs/>
          <w:sz w:val="24"/>
          <w:szCs w:val="24"/>
        </w:rPr>
        <w:t>Neurosurgery.</w:t>
      </w:r>
      <w:proofErr w:type="gramEnd"/>
      <w:r w:rsidRPr="00A32C9C">
        <w:rPr>
          <w:rFonts w:ascii="Times New Roman" w:hAnsi="Times New Roman" w:cs="Times New Roman"/>
          <w:bCs/>
          <w:sz w:val="24"/>
          <w:szCs w:val="24"/>
        </w:rPr>
        <w:t xml:space="preserve"> 2006</w:t>
      </w:r>
      <w:proofErr w:type="gramStart"/>
      <w:r w:rsidRPr="00A32C9C">
        <w:rPr>
          <w:rFonts w:ascii="Times New Roman" w:hAnsi="Times New Roman" w:cs="Times New Roman"/>
          <w:bCs/>
          <w:sz w:val="24"/>
          <w:szCs w:val="24"/>
        </w:rPr>
        <w:t>;58</w:t>
      </w:r>
      <w:proofErr w:type="gramEnd"/>
      <w:r w:rsidRPr="00A32C9C">
        <w:rPr>
          <w:rFonts w:ascii="Times New Roman" w:hAnsi="Times New Roman" w:cs="Times New Roman"/>
          <w:bCs/>
          <w:sz w:val="24"/>
          <w:szCs w:val="24"/>
        </w:rPr>
        <w:t>(</w:t>
      </w:r>
      <w:proofErr w:type="spellStart"/>
      <w:r w:rsidRPr="00A32C9C">
        <w:rPr>
          <w:rFonts w:ascii="Times New Roman" w:hAnsi="Times New Roman" w:cs="Times New Roman"/>
          <w:bCs/>
          <w:sz w:val="24"/>
          <w:szCs w:val="24"/>
        </w:rPr>
        <w:t>Suppl</w:t>
      </w:r>
      <w:proofErr w:type="spellEnd"/>
      <w:r w:rsidRPr="00A32C9C">
        <w:rPr>
          <w:rFonts w:ascii="Times New Roman" w:hAnsi="Times New Roman" w:cs="Times New Roman"/>
          <w:bCs/>
          <w:sz w:val="24"/>
          <w:szCs w:val="24"/>
        </w:rPr>
        <w:t xml:space="preserve"> 3):S16-S24.</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t xml:space="preserve">17. </w:t>
      </w:r>
      <w:proofErr w:type="spellStart"/>
      <w:r w:rsidRPr="00A32C9C">
        <w:rPr>
          <w:rFonts w:ascii="Times New Roman" w:hAnsi="Times New Roman" w:cs="Times New Roman"/>
          <w:bCs/>
          <w:sz w:val="24"/>
          <w:szCs w:val="24"/>
        </w:rPr>
        <w:t>Servadei</w:t>
      </w:r>
      <w:proofErr w:type="spellEnd"/>
      <w:r w:rsidRPr="00A32C9C">
        <w:rPr>
          <w:rFonts w:ascii="Times New Roman" w:hAnsi="Times New Roman" w:cs="Times New Roman"/>
          <w:bCs/>
          <w:sz w:val="24"/>
          <w:szCs w:val="24"/>
        </w:rPr>
        <w:t xml:space="preserve"> F. Prognostic factors in acute subdural hematomas. </w:t>
      </w:r>
      <w:proofErr w:type="spellStart"/>
      <w:proofErr w:type="gramStart"/>
      <w:r w:rsidRPr="00A32C9C">
        <w:rPr>
          <w:rFonts w:ascii="Times New Roman" w:hAnsi="Times New Roman" w:cs="Times New Roman"/>
          <w:bCs/>
          <w:i/>
          <w:iCs/>
          <w:sz w:val="24"/>
          <w:szCs w:val="24"/>
        </w:rPr>
        <w:t>Acta</w:t>
      </w:r>
      <w:proofErr w:type="spellEnd"/>
      <w:r w:rsidRPr="00A32C9C">
        <w:rPr>
          <w:rFonts w:ascii="Times New Roman" w:hAnsi="Times New Roman" w:cs="Times New Roman"/>
          <w:bCs/>
          <w:i/>
          <w:iCs/>
          <w:sz w:val="24"/>
          <w:szCs w:val="24"/>
        </w:rPr>
        <w:t xml:space="preserve"> </w:t>
      </w:r>
      <w:proofErr w:type="spellStart"/>
      <w:r w:rsidRPr="00A32C9C">
        <w:rPr>
          <w:rFonts w:ascii="Times New Roman" w:hAnsi="Times New Roman" w:cs="Times New Roman"/>
          <w:bCs/>
          <w:i/>
          <w:iCs/>
          <w:sz w:val="24"/>
          <w:szCs w:val="24"/>
        </w:rPr>
        <w:t>Neurochir</w:t>
      </w:r>
      <w:proofErr w:type="spellEnd"/>
      <w:r w:rsidRPr="00A32C9C">
        <w:rPr>
          <w:rFonts w:ascii="Times New Roman" w:hAnsi="Times New Roman" w:cs="Times New Roman"/>
          <w:bCs/>
          <w:i/>
          <w:iCs/>
          <w:sz w:val="24"/>
          <w:szCs w:val="24"/>
        </w:rPr>
        <w:t xml:space="preserve"> (Wien).</w:t>
      </w:r>
      <w:proofErr w:type="gramEnd"/>
      <w:r w:rsidRPr="00A32C9C">
        <w:rPr>
          <w:rFonts w:ascii="Times New Roman" w:hAnsi="Times New Roman" w:cs="Times New Roman"/>
          <w:bCs/>
          <w:sz w:val="24"/>
          <w:szCs w:val="24"/>
        </w:rPr>
        <w:t xml:space="preserve"> 2001</w:t>
      </w:r>
      <w:proofErr w:type="gramStart"/>
      <w:r w:rsidRPr="00A32C9C">
        <w:rPr>
          <w:rFonts w:ascii="Times New Roman" w:hAnsi="Times New Roman" w:cs="Times New Roman"/>
          <w:bCs/>
          <w:sz w:val="24"/>
          <w:szCs w:val="24"/>
        </w:rPr>
        <w:t>;143:1199</w:t>
      </w:r>
      <w:proofErr w:type="gramEnd"/>
      <w:r w:rsidRPr="00A32C9C">
        <w:rPr>
          <w:rFonts w:ascii="Times New Roman" w:hAnsi="Times New Roman" w:cs="Times New Roman"/>
          <w:bCs/>
          <w:sz w:val="24"/>
          <w:szCs w:val="24"/>
        </w:rPr>
        <w:t>-1204.</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t xml:space="preserve">18. Maas AIR, </w:t>
      </w:r>
      <w:proofErr w:type="spellStart"/>
      <w:r w:rsidRPr="00A32C9C">
        <w:rPr>
          <w:rFonts w:ascii="Times New Roman" w:hAnsi="Times New Roman" w:cs="Times New Roman"/>
          <w:bCs/>
          <w:sz w:val="24"/>
          <w:szCs w:val="24"/>
        </w:rPr>
        <w:t>Stocchetti</w:t>
      </w:r>
      <w:proofErr w:type="spellEnd"/>
      <w:r w:rsidRPr="00A32C9C">
        <w:rPr>
          <w:rFonts w:ascii="Times New Roman" w:hAnsi="Times New Roman" w:cs="Times New Roman"/>
          <w:bCs/>
          <w:sz w:val="24"/>
          <w:szCs w:val="24"/>
        </w:rPr>
        <w:t xml:space="preserve"> N, Bullock R. Moderate and severe traumatic brain injury in adults. </w:t>
      </w:r>
      <w:r w:rsidRPr="00A32C9C">
        <w:rPr>
          <w:rFonts w:ascii="Times New Roman" w:hAnsi="Times New Roman" w:cs="Times New Roman"/>
          <w:bCs/>
          <w:i/>
          <w:iCs/>
          <w:sz w:val="24"/>
          <w:szCs w:val="24"/>
        </w:rPr>
        <w:t>Lancet Neurol.</w:t>
      </w:r>
      <w:r w:rsidRPr="00A32C9C">
        <w:rPr>
          <w:rFonts w:ascii="Times New Roman" w:hAnsi="Times New Roman" w:cs="Times New Roman"/>
          <w:bCs/>
          <w:sz w:val="24"/>
          <w:szCs w:val="24"/>
        </w:rPr>
        <w:t xml:space="preserve"> 2008</w:t>
      </w:r>
      <w:proofErr w:type="gramStart"/>
      <w:r w:rsidRPr="00A32C9C">
        <w:rPr>
          <w:rFonts w:ascii="Times New Roman" w:hAnsi="Times New Roman" w:cs="Times New Roman"/>
          <w:bCs/>
          <w:sz w:val="24"/>
          <w:szCs w:val="24"/>
        </w:rPr>
        <w:t>;7:728</w:t>
      </w:r>
      <w:proofErr w:type="gramEnd"/>
      <w:r w:rsidRPr="00A32C9C">
        <w:rPr>
          <w:rFonts w:ascii="Times New Roman" w:hAnsi="Times New Roman" w:cs="Times New Roman"/>
          <w:bCs/>
          <w:sz w:val="24"/>
          <w:szCs w:val="24"/>
        </w:rPr>
        <w:t>-741.</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t xml:space="preserve">19. </w:t>
      </w:r>
      <w:proofErr w:type="spellStart"/>
      <w:r w:rsidRPr="00A32C9C">
        <w:rPr>
          <w:rFonts w:ascii="Times New Roman" w:hAnsi="Times New Roman" w:cs="Times New Roman"/>
          <w:bCs/>
          <w:sz w:val="24"/>
          <w:szCs w:val="24"/>
        </w:rPr>
        <w:t>Skandsen</w:t>
      </w:r>
      <w:proofErr w:type="spellEnd"/>
      <w:r w:rsidRPr="00A32C9C">
        <w:rPr>
          <w:rFonts w:ascii="Times New Roman" w:hAnsi="Times New Roman" w:cs="Times New Roman"/>
          <w:bCs/>
          <w:sz w:val="24"/>
          <w:szCs w:val="24"/>
        </w:rPr>
        <w:t xml:space="preserve"> T, </w:t>
      </w:r>
      <w:proofErr w:type="spellStart"/>
      <w:r w:rsidRPr="00A32C9C">
        <w:rPr>
          <w:rFonts w:ascii="Times New Roman" w:hAnsi="Times New Roman" w:cs="Times New Roman"/>
          <w:bCs/>
          <w:sz w:val="24"/>
          <w:szCs w:val="24"/>
        </w:rPr>
        <w:t>Kvistad</w:t>
      </w:r>
      <w:proofErr w:type="spellEnd"/>
      <w:r w:rsidRPr="00A32C9C">
        <w:rPr>
          <w:rFonts w:ascii="Times New Roman" w:hAnsi="Times New Roman" w:cs="Times New Roman"/>
          <w:bCs/>
          <w:sz w:val="24"/>
          <w:szCs w:val="24"/>
        </w:rPr>
        <w:t xml:space="preserve"> KA, </w:t>
      </w:r>
      <w:proofErr w:type="spellStart"/>
      <w:r w:rsidRPr="00A32C9C">
        <w:rPr>
          <w:rFonts w:ascii="Times New Roman" w:hAnsi="Times New Roman" w:cs="Times New Roman"/>
          <w:bCs/>
          <w:sz w:val="24"/>
          <w:szCs w:val="24"/>
        </w:rPr>
        <w:t>Solheim</w:t>
      </w:r>
      <w:proofErr w:type="spellEnd"/>
      <w:r w:rsidRPr="00A32C9C">
        <w:rPr>
          <w:rFonts w:ascii="Times New Roman" w:hAnsi="Times New Roman" w:cs="Times New Roman"/>
          <w:bCs/>
          <w:sz w:val="24"/>
          <w:szCs w:val="24"/>
        </w:rPr>
        <w:t xml:space="preserve"> O, et al. Prognostic value of MRI-detected brainstem lesions after traumatic brain injury. </w:t>
      </w:r>
      <w:proofErr w:type="gramStart"/>
      <w:r w:rsidRPr="00A32C9C">
        <w:rPr>
          <w:rFonts w:ascii="Times New Roman" w:hAnsi="Times New Roman" w:cs="Times New Roman"/>
          <w:bCs/>
          <w:i/>
          <w:iCs/>
          <w:sz w:val="24"/>
          <w:szCs w:val="24"/>
        </w:rPr>
        <w:t xml:space="preserve">J </w:t>
      </w:r>
      <w:proofErr w:type="spellStart"/>
      <w:r w:rsidRPr="00A32C9C">
        <w:rPr>
          <w:rFonts w:ascii="Times New Roman" w:hAnsi="Times New Roman" w:cs="Times New Roman"/>
          <w:bCs/>
          <w:i/>
          <w:iCs/>
          <w:sz w:val="24"/>
          <w:szCs w:val="24"/>
        </w:rPr>
        <w:t>Neurotrauma</w:t>
      </w:r>
      <w:proofErr w:type="spellEnd"/>
      <w:r w:rsidRPr="00A32C9C">
        <w:rPr>
          <w:rFonts w:ascii="Times New Roman" w:hAnsi="Times New Roman" w:cs="Times New Roman"/>
          <w:bCs/>
          <w:i/>
          <w:iCs/>
          <w:sz w:val="24"/>
          <w:szCs w:val="24"/>
        </w:rPr>
        <w:t>.</w:t>
      </w:r>
      <w:proofErr w:type="gramEnd"/>
      <w:r w:rsidRPr="00A32C9C">
        <w:rPr>
          <w:rFonts w:ascii="Times New Roman" w:hAnsi="Times New Roman" w:cs="Times New Roman"/>
          <w:bCs/>
          <w:sz w:val="24"/>
          <w:szCs w:val="24"/>
        </w:rPr>
        <w:t xml:space="preserve"> 2011</w:t>
      </w:r>
      <w:proofErr w:type="gramStart"/>
      <w:r w:rsidRPr="00A32C9C">
        <w:rPr>
          <w:rFonts w:ascii="Times New Roman" w:hAnsi="Times New Roman" w:cs="Times New Roman"/>
          <w:bCs/>
          <w:sz w:val="24"/>
          <w:szCs w:val="24"/>
        </w:rPr>
        <w:t>;28:259</w:t>
      </w:r>
      <w:proofErr w:type="gramEnd"/>
      <w:r w:rsidRPr="00A32C9C">
        <w:rPr>
          <w:rFonts w:ascii="Times New Roman" w:hAnsi="Times New Roman" w:cs="Times New Roman"/>
          <w:bCs/>
          <w:sz w:val="24"/>
          <w:szCs w:val="24"/>
        </w:rPr>
        <w:t>-267.</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t xml:space="preserve">20. </w:t>
      </w:r>
      <w:proofErr w:type="spellStart"/>
      <w:r w:rsidRPr="00A32C9C">
        <w:rPr>
          <w:rFonts w:ascii="Times New Roman" w:hAnsi="Times New Roman" w:cs="Times New Roman"/>
          <w:bCs/>
          <w:sz w:val="24"/>
          <w:szCs w:val="24"/>
        </w:rPr>
        <w:t>Tawil</w:t>
      </w:r>
      <w:proofErr w:type="spellEnd"/>
      <w:r w:rsidRPr="00A32C9C">
        <w:rPr>
          <w:rFonts w:ascii="Times New Roman" w:hAnsi="Times New Roman" w:cs="Times New Roman"/>
          <w:bCs/>
          <w:sz w:val="24"/>
          <w:szCs w:val="24"/>
        </w:rPr>
        <w:t xml:space="preserve"> I, Stein DM, </w:t>
      </w:r>
      <w:proofErr w:type="spellStart"/>
      <w:r w:rsidRPr="00A32C9C">
        <w:rPr>
          <w:rFonts w:ascii="Times New Roman" w:hAnsi="Times New Roman" w:cs="Times New Roman"/>
          <w:bCs/>
          <w:sz w:val="24"/>
          <w:szCs w:val="24"/>
        </w:rPr>
        <w:t>Mirvis</w:t>
      </w:r>
      <w:proofErr w:type="spellEnd"/>
      <w:r w:rsidRPr="00A32C9C">
        <w:rPr>
          <w:rFonts w:ascii="Times New Roman" w:hAnsi="Times New Roman" w:cs="Times New Roman"/>
          <w:bCs/>
          <w:sz w:val="24"/>
          <w:szCs w:val="24"/>
        </w:rPr>
        <w:t xml:space="preserve"> SE, et al. Post-traumatic cerebral infarction after severe traumatic brain injury. </w:t>
      </w:r>
      <w:proofErr w:type="gramStart"/>
      <w:r w:rsidRPr="00A32C9C">
        <w:rPr>
          <w:rFonts w:ascii="Times New Roman" w:hAnsi="Times New Roman" w:cs="Times New Roman"/>
          <w:bCs/>
          <w:i/>
          <w:iCs/>
          <w:sz w:val="24"/>
          <w:szCs w:val="24"/>
        </w:rPr>
        <w:t>J Trauma.</w:t>
      </w:r>
      <w:proofErr w:type="gramEnd"/>
      <w:r w:rsidRPr="00A32C9C">
        <w:rPr>
          <w:rFonts w:ascii="Times New Roman" w:hAnsi="Times New Roman" w:cs="Times New Roman"/>
          <w:bCs/>
          <w:sz w:val="24"/>
          <w:szCs w:val="24"/>
        </w:rPr>
        <w:t xml:space="preserve"> 2008</w:t>
      </w:r>
      <w:proofErr w:type="gramStart"/>
      <w:r w:rsidRPr="00A32C9C">
        <w:rPr>
          <w:rFonts w:ascii="Times New Roman" w:hAnsi="Times New Roman" w:cs="Times New Roman"/>
          <w:bCs/>
          <w:sz w:val="24"/>
          <w:szCs w:val="24"/>
        </w:rPr>
        <w:t>;64:849</w:t>
      </w:r>
      <w:proofErr w:type="gramEnd"/>
      <w:r w:rsidRPr="00A32C9C">
        <w:rPr>
          <w:rFonts w:ascii="Times New Roman" w:hAnsi="Times New Roman" w:cs="Times New Roman"/>
          <w:bCs/>
          <w:sz w:val="24"/>
          <w:szCs w:val="24"/>
        </w:rPr>
        <w:t>-853.</w:t>
      </w:r>
    </w:p>
    <w:p w:rsidR="00A32C9C" w:rsidRPr="00A32C9C" w:rsidRDefault="00A32C9C" w:rsidP="00A32C9C">
      <w:pPr>
        <w:jc w:val="both"/>
        <w:rPr>
          <w:rFonts w:ascii="Times New Roman" w:hAnsi="Times New Roman" w:cs="Times New Roman"/>
          <w:bCs/>
          <w:sz w:val="24"/>
          <w:szCs w:val="24"/>
        </w:rPr>
      </w:pPr>
      <w:r w:rsidRPr="00A32C9C">
        <w:rPr>
          <w:rFonts w:ascii="Times New Roman" w:hAnsi="Times New Roman" w:cs="Times New Roman"/>
          <w:bCs/>
          <w:sz w:val="24"/>
          <w:szCs w:val="24"/>
        </w:rPr>
        <w:t xml:space="preserve">21. </w:t>
      </w:r>
      <w:proofErr w:type="spellStart"/>
      <w:r w:rsidRPr="00A32C9C">
        <w:rPr>
          <w:rFonts w:ascii="Times New Roman" w:hAnsi="Times New Roman" w:cs="Times New Roman"/>
          <w:bCs/>
          <w:sz w:val="24"/>
          <w:szCs w:val="24"/>
        </w:rPr>
        <w:t>Hukkelhoven</w:t>
      </w:r>
      <w:proofErr w:type="spellEnd"/>
      <w:r w:rsidRPr="00A32C9C">
        <w:rPr>
          <w:rFonts w:ascii="Times New Roman" w:hAnsi="Times New Roman" w:cs="Times New Roman"/>
          <w:bCs/>
          <w:sz w:val="24"/>
          <w:szCs w:val="24"/>
        </w:rPr>
        <w:t xml:space="preserve"> CWPM, </w:t>
      </w:r>
      <w:proofErr w:type="spellStart"/>
      <w:r w:rsidRPr="00A32C9C">
        <w:rPr>
          <w:rFonts w:ascii="Times New Roman" w:hAnsi="Times New Roman" w:cs="Times New Roman"/>
          <w:bCs/>
          <w:sz w:val="24"/>
          <w:szCs w:val="24"/>
        </w:rPr>
        <w:t>Steyerberg</w:t>
      </w:r>
      <w:proofErr w:type="spellEnd"/>
      <w:r w:rsidRPr="00A32C9C">
        <w:rPr>
          <w:rFonts w:ascii="Times New Roman" w:hAnsi="Times New Roman" w:cs="Times New Roman"/>
          <w:bCs/>
          <w:sz w:val="24"/>
          <w:szCs w:val="24"/>
        </w:rPr>
        <w:t xml:space="preserve"> EW, </w:t>
      </w:r>
      <w:proofErr w:type="spellStart"/>
      <w:r w:rsidRPr="00A32C9C">
        <w:rPr>
          <w:rFonts w:ascii="Times New Roman" w:hAnsi="Times New Roman" w:cs="Times New Roman"/>
          <w:bCs/>
          <w:sz w:val="24"/>
          <w:szCs w:val="24"/>
        </w:rPr>
        <w:t>Rampen</w:t>
      </w:r>
      <w:proofErr w:type="spellEnd"/>
      <w:r w:rsidRPr="00A32C9C">
        <w:rPr>
          <w:rFonts w:ascii="Times New Roman" w:hAnsi="Times New Roman" w:cs="Times New Roman"/>
          <w:bCs/>
          <w:sz w:val="24"/>
          <w:szCs w:val="24"/>
        </w:rPr>
        <w:t xml:space="preserve"> AJJ, et al. Patient age and outcome following severe traumatic brain injury: an analysis of 5600 patients. </w:t>
      </w:r>
      <w:proofErr w:type="gramStart"/>
      <w:r w:rsidRPr="00A32C9C">
        <w:rPr>
          <w:rFonts w:ascii="Times New Roman" w:hAnsi="Times New Roman" w:cs="Times New Roman"/>
          <w:bCs/>
          <w:i/>
          <w:iCs/>
          <w:sz w:val="24"/>
          <w:szCs w:val="24"/>
        </w:rPr>
        <w:t xml:space="preserve">J </w:t>
      </w:r>
      <w:proofErr w:type="spellStart"/>
      <w:r w:rsidRPr="00A32C9C">
        <w:rPr>
          <w:rFonts w:ascii="Times New Roman" w:hAnsi="Times New Roman" w:cs="Times New Roman"/>
          <w:bCs/>
          <w:i/>
          <w:iCs/>
          <w:sz w:val="24"/>
          <w:szCs w:val="24"/>
        </w:rPr>
        <w:t>Neurosurg</w:t>
      </w:r>
      <w:proofErr w:type="spellEnd"/>
      <w:r w:rsidRPr="00A32C9C">
        <w:rPr>
          <w:rFonts w:ascii="Times New Roman" w:hAnsi="Times New Roman" w:cs="Times New Roman"/>
          <w:bCs/>
          <w:i/>
          <w:iCs/>
          <w:sz w:val="24"/>
          <w:szCs w:val="24"/>
        </w:rPr>
        <w:t>.</w:t>
      </w:r>
      <w:proofErr w:type="gramEnd"/>
      <w:r w:rsidRPr="00A32C9C">
        <w:rPr>
          <w:rFonts w:ascii="Times New Roman" w:hAnsi="Times New Roman" w:cs="Times New Roman"/>
          <w:bCs/>
          <w:sz w:val="24"/>
          <w:szCs w:val="24"/>
        </w:rPr>
        <w:t xml:space="preserve"> 2003</w:t>
      </w:r>
      <w:proofErr w:type="gramStart"/>
      <w:r w:rsidRPr="00A32C9C">
        <w:rPr>
          <w:rFonts w:ascii="Times New Roman" w:hAnsi="Times New Roman" w:cs="Times New Roman"/>
          <w:bCs/>
          <w:sz w:val="24"/>
          <w:szCs w:val="24"/>
        </w:rPr>
        <w:t>;99:666</w:t>
      </w:r>
      <w:proofErr w:type="gramEnd"/>
      <w:r w:rsidRPr="00A32C9C">
        <w:rPr>
          <w:rFonts w:ascii="Times New Roman" w:hAnsi="Times New Roman" w:cs="Times New Roman"/>
          <w:bCs/>
          <w:sz w:val="24"/>
          <w:szCs w:val="24"/>
        </w:rPr>
        <w:t>-673.</w:t>
      </w:r>
    </w:p>
    <w:p w:rsidR="00924596" w:rsidRPr="004633A1" w:rsidRDefault="002E779D" w:rsidP="004633A1">
      <w:pPr>
        <w:jc w:val="both"/>
        <w:rPr>
          <w:rFonts w:ascii="Times New Roman" w:hAnsi="Times New Roman" w:cs="Times New Roman"/>
          <w:sz w:val="24"/>
          <w:szCs w:val="24"/>
        </w:rPr>
      </w:pPr>
    </w:p>
    <w:sectPr w:rsidR="00924596" w:rsidRPr="004633A1" w:rsidSect="005B69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0318E"/>
    <w:multiLevelType w:val="multilevel"/>
    <w:tmpl w:val="BC20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1843B1"/>
    <w:multiLevelType w:val="multilevel"/>
    <w:tmpl w:val="34E4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4633A1"/>
    <w:rsid w:val="000A5902"/>
    <w:rsid w:val="001612B4"/>
    <w:rsid w:val="002D2CD6"/>
    <w:rsid w:val="002E779D"/>
    <w:rsid w:val="004633A1"/>
    <w:rsid w:val="00504611"/>
    <w:rsid w:val="005B693E"/>
    <w:rsid w:val="005C17C4"/>
    <w:rsid w:val="005C3D19"/>
    <w:rsid w:val="00615ED5"/>
    <w:rsid w:val="006C0B73"/>
    <w:rsid w:val="00751248"/>
    <w:rsid w:val="008170D1"/>
    <w:rsid w:val="00830576"/>
    <w:rsid w:val="00A32C9C"/>
    <w:rsid w:val="00A558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93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Accent1">
    <w:name w:val="Light Shading Accent 1"/>
    <w:basedOn w:val="TableNormal"/>
    <w:uiPriority w:val="60"/>
    <w:rsid w:val="0075124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979385745">
      <w:bodyDiv w:val="1"/>
      <w:marLeft w:val="0"/>
      <w:marRight w:val="0"/>
      <w:marTop w:val="0"/>
      <w:marBottom w:val="0"/>
      <w:divBdr>
        <w:top w:val="none" w:sz="0" w:space="0" w:color="auto"/>
        <w:left w:val="none" w:sz="0" w:space="0" w:color="auto"/>
        <w:bottom w:val="none" w:sz="0" w:space="0" w:color="auto"/>
        <w:right w:val="none" w:sz="0" w:space="0" w:color="auto"/>
      </w:divBdr>
    </w:div>
    <w:div w:id="1111512954">
      <w:bodyDiv w:val="1"/>
      <w:marLeft w:val="0"/>
      <w:marRight w:val="0"/>
      <w:marTop w:val="0"/>
      <w:marBottom w:val="0"/>
      <w:divBdr>
        <w:top w:val="none" w:sz="0" w:space="0" w:color="auto"/>
        <w:left w:val="none" w:sz="0" w:space="0" w:color="auto"/>
        <w:bottom w:val="none" w:sz="0" w:space="0" w:color="auto"/>
        <w:right w:val="none" w:sz="0" w:space="0" w:color="auto"/>
      </w:divBdr>
    </w:div>
    <w:div w:id="1194149828">
      <w:bodyDiv w:val="1"/>
      <w:marLeft w:val="0"/>
      <w:marRight w:val="0"/>
      <w:marTop w:val="0"/>
      <w:marBottom w:val="0"/>
      <w:divBdr>
        <w:top w:val="none" w:sz="0" w:space="0" w:color="auto"/>
        <w:left w:val="none" w:sz="0" w:space="0" w:color="auto"/>
        <w:bottom w:val="none" w:sz="0" w:space="0" w:color="auto"/>
        <w:right w:val="none" w:sz="0" w:space="0" w:color="auto"/>
      </w:divBdr>
    </w:div>
    <w:div w:id="1309245086">
      <w:bodyDiv w:val="1"/>
      <w:marLeft w:val="0"/>
      <w:marRight w:val="0"/>
      <w:marTop w:val="0"/>
      <w:marBottom w:val="0"/>
      <w:divBdr>
        <w:top w:val="none" w:sz="0" w:space="0" w:color="auto"/>
        <w:left w:val="none" w:sz="0" w:space="0" w:color="auto"/>
        <w:bottom w:val="none" w:sz="0" w:space="0" w:color="auto"/>
        <w:right w:val="none" w:sz="0" w:space="0" w:color="auto"/>
      </w:divBdr>
      <w:divsChild>
        <w:div w:id="852107945">
          <w:marLeft w:val="0"/>
          <w:marRight w:val="0"/>
          <w:marTop w:val="0"/>
          <w:marBottom w:val="0"/>
          <w:divBdr>
            <w:top w:val="none" w:sz="0" w:space="0" w:color="auto"/>
            <w:left w:val="none" w:sz="0" w:space="0" w:color="auto"/>
            <w:bottom w:val="none" w:sz="0" w:space="0" w:color="auto"/>
            <w:right w:val="none" w:sz="0" w:space="0" w:color="auto"/>
          </w:divBdr>
          <w:divsChild>
            <w:div w:id="1914006203">
              <w:marLeft w:val="0"/>
              <w:marRight w:val="0"/>
              <w:marTop w:val="0"/>
              <w:marBottom w:val="0"/>
              <w:divBdr>
                <w:top w:val="none" w:sz="0" w:space="0" w:color="auto"/>
                <w:left w:val="none" w:sz="0" w:space="0" w:color="auto"/>
                <w:bottom w:val="none" w:sz="0" w:space="0" w:color="auto"/>
                <w:right w:val="none" w:sz="0" w:space="0" w:color="auto"/>
              </w:divBdr>
              <w:divsChild>
                <w:div w:id="761605163">
                  <w:marLeft w:val="0"/>
                  <w:marRight w:val="0"/>
                  <w:marTop w:val="0"/>
                  <w:marBottom w:val="0"/>
                  <w:divBdr>
                    <w:top w:val="none" w:sz="0" w:space="0" w:color="auto"/>
                    <w:left w:val="none" w:sz="0" w:space="0" w:color="auto"/>
                    <w:bottom w:val="none" w:sz="0" w:space="0" w:color="auto"/>
                    <w:right w:val="none" w:sz="0" w:space="0" w:color="auto"/>
                  </w:divBdr>
                  <w:divsChild>
                    <w:div w:id="1607228363">
                      <w:marLeft w:val="0"/>
                      <w:marRight w:val="0"/>
                      <w:marTop w:val="0"/>
                      <w:marBottom w:val="0"/>
                      <w:divBdr>
                        <w:top w:val="none" w:sz="0" w:space="0" w:color="auto"/>
                        <w:left w:val="none" w:sz="0" w:space="0" w:color="auto"/>
                        <w:bottom w:val="none" w:sz="0" w:space="0" w:color="auto"/>
                        <w:right w:val="none" w:sz="0" w:space="0" w:color="auto"/>
                      </w:divBdr>
                      <w:divsChild>
                        <w:div w:id="1384523004">
                          <w:marLeft w:val="0"/>
                          <w:marRight w:val="0"/>
                          <w:marTop w:val="0"/>
                          <w:marBottom w:val="0"/>
                          <w:divBdr>
                            <w:top w:val="none" w:sz="0" w:space="0" w:color="auto"/>
                            <w:left w:val="none" w:sz="0" w:space="0" w:color="auto"/>
                            <w:bottom w:val="none" w:sz="0" w:space="0" w:color="auto"/>
                            <w:right w:val="none" w:sz="0" w:space="0" w:color="auto"/>
                          </w:divBdr>
                          <w:divsChild>
                            <w:div w:id="708266648">
                              <w:marLeft w:val="0"/>
                              <w:marRight w:val="0"/>
                              <w:marTop w:val="0"/>
                              <w:marBottom w:val="0"/>
                              <w:divBdr>
                                <w:top w:val="none" w:sz="0" w:space="0" w:color="auto"/>
                                <w:left w:val="none" w:sz="0" w:space="0" w:color="auto"/>
                                <w:bottom w:val="none" w:sz="0" w:space="0" w:color="auto"/>
                                <w:right w:val="none" w:sz="0" w:space="0" w:color="auto"/>
                              </w:divBdr>
                              <w:divsChild>
                                <w:div w:id="564993310">
                                  <w:marLeft w:val="0"/>
                                  <w:marRight w:val="0"/>
                                  <w:marTop w:val="0"/>
                                  <w:marBottom w:val="0"/>
                                  <w:divBdr>
                                    <w:top w:val="none" w:sz="0" w:space="0" w:color="auto"/>
                                    <w:left w:val="none" w:sz="0" w:space="0" w:color="auto"/>
                                    <w:bottom w:val="none" w:sz="0" w:space="0" w:color="auto"/>
                                    <w:right w:val="none" w:sz="0" w:space="0" w:color="auto"/>
                                  </w:divBdr>
                                  <w:divsChild>
                                    <w:div w:id="14784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119992">
      <w:bodyDiv w:val="1"/>
      <w:marLeft w:val="0"/>
      <w:marRight w:val="0"/>
      <w:marTop w:val="0"/>
      <w:marBottom w:val="0"/>
      <w:divBdr>
        <w:top w:val="none" w:sz="0" w:space="0" w:color="auto"/>
        <w:left w:val="none" w:sz="0" w:space="0" w:color="auto"/>
        <w:bottom w:val="none" w:sz="0" w:space="0" w:color="auto"/>
        <w:right w:val="none" w:sz="0" w:space="0" w:color="auto"/>
      </w:divBdr>
      <w:divsChild>
        <w:div w:id="908419743">
          <w:marLeft w:val="0"/>
          <w:marRight w:val="0"/>
          <w:marTop w:val="0"/>
          <w:marBottom w:val="0"/>
          <w:divBdr>
            <w:top w:val="none" w:sz="0" w:space="0" w:color="auto"/>
            <w:left w:val="none" w:sz="0" w:space="0" w:color="auto"/>
            <w:bottom w:val="none" w:sz="0" w:space="0" w:color="auto"/>
            <w:right w:val="none" w:sz="0" w:space="0" w:color="auto"/>
          </w:divBdr>
          <w:divsChild>
            <w:div w:id="1779175366">
              <w:marLeft w:val="0"/>
              <w:marRight w:val="0"/>
              <w:marTop w:val="0"/>
              <w:marBottom w:val="0"/>
              <w:divBdr>
                <w:top w:val="none" w:sz="0" w:space="0" w:color="auto"/>
                <w:left w:val="none" w:sz="0" w:space="0" w:color="auto"/>
                <w:bottom w:val="none" w:sz="0" w:space="0" w:color="auto"/>
                <w:right w:val="none" w:sz="0" w:space="0" w:color="auto"/>
              </w:divBdr>
            </w:div>
          </w:divsChild>
        </w:div>
        <w:div w:id="1841118581">
          <w:marLeft w:val="0"/>
          <w:marRight w:val="0"/>
          <w:marTop w:val="0"/>
          <w:marBottom w:val="0"/>
          <w:divBdr>
            <w:top w:val="none" w:sz="0" w:space="0" w:color="auto"/>
            <w:left w:val="none" w:sz="0" w:space="0" w:color="auto"/>
            <w:bottom w:val="none" w:sz="0" w:space="0" w:color="auto"/>
            <w:right w:val="none" w:sz="0" w:space="0" w:color="auto"/>
          </w:divBdr>
          <w:divsChild>
            <w:div w:id="25445230">
              <w:marLeft w:val="0"/>
              <w:marRight w:val="0"/>
              <w:marTop w:val="0"/>
              <w:marBottom w:val="0"/>
              <w:divBdr>
                <w:top w:val="none" w:sz="0" w:space="0" w:color="auto"/>
                <w:left w:val="none" w:sz="0" w:space="0" w:color="auto"/>
                <w:bottom w:val="none" w:sz="0" w:space="0" w:color="auto"/>
                <w:right w:val="none" w:sz="0" w:space="0" w:color="auto"/>
              </w:divBdr>
            </w:div>
          </w:divsChild>
        </w:div>
        <w:div w:id="1425301924">
          <w:marLeft w:val="0"/>
          <w:marRight w:val="0"/>
          <w:marTop w:val="0"/>
          <w:marBottom w:val="0"/>
          <w:divBdr>
            <w:top w:val="none" w:sz="0" w:space="0" w:color="auto"/>
            <w:left w:val="none" w:sz="0" w:space="0" w:color="auto"/>
            <w:bottom w:val="none" w:sz="0" w:space="0" w:color="auto"/>
            <w:right w:val="none" w:sz="0" w:space="0" w:color="auto"/>
          </w:divBdr>
          <w:divsChild>
            <w:div w:id="1373991703">
              <w:marLeft w:val="0"/>
              <w:marRight w:val="0"/>
              <w:marTop w:val="0"/>
              <w:marBottom w:val="0"/>
              <w:divBdr>
                <w:top w:val="none" w:sz="0" w:space="0" w:color="auto"/>
                <w:left w:val="none" w:sz="0" w:space="0" w:color="auto"/>
                <w:bottom w:val="none" w:sz="0" w:space="0" w:color="auto"/>
                <w:right w:val="none" w:sz="0" w:space="0" w:color="auto"/>
              </w:divBdr>
            </w:div>
          </w:divsChild>
        </w:div>
        <w:div w:id="652222032">
          <w:marLeft w:val="0"/>
          <w:marRight w:val="0"/>
          <w:marTop w:val="0"/>
          <w:marBottom w:val="0"/>
          <w:divBdr>
            <w:top w:val="none" w:sz="0" w:space="0" w:color="auto"/>
            <w:left w:val="none" w:sz="0" w:space="0" w:color="auto"/>
            <w:bottom w:val="none" w:sz="0" w:space="0" w:color="auto"/>
            <w:right w:val="none" w:sz="0" w:space="0" w:color="auto"/>
          </w:divBdr>
          <w:divsChild>
            <w:div w:id="2112316584">
              <w:marLeft w:val="0"/>
              <w:marRight w:val="0"/>
              <w:marTop w:val="0"/>
              <w:marBottom w:val="0"/>
              <w:divBdr>
                <w:top w:val="none" w:sz="0" w:space="0" w:color="auto"/>
                <w:left w:val="none" w:sz="0" w:space="0" w:color="auto"/>
                <w:bottom w:val="none" w:sz="0" w:space="0" w:color="auto"/>
                <w:right w:val="none" w:sz="0" w:space="0" w:color="auto"/>
              </w:divBdr>
            </w:div>
          </w:divsChild>
        </w:div>
        <w:div w:id="2007440879">
          <w:marLeft w:val="0"/>
          <w:marRight w:val="0"/>
          <w:marTop w:val="0"/>
          <w:marBottom w:val="0"/>
          <w:divBdr>
            <w:top w:val="none" w:sz="0" w:space="0" w:color="auto"/>
            <w:left w:val="none" w:sz="0" w:space="0" w:color="auto"/>
            <w:bottom w:val="none" w:sz="0" w:space="0" w:color="auto"/>
            <w:right w:val="none" w:sz="0" w:space="0" w:color="auto"/>
          </w:divBdr>
          <w:divsChild>
            <w:div w:id="18411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79670">
      <w:bodyDiv w:val="1"/>
      <w:marLeft w:val="0"/>
      <w:marRight w:val="0"/>
      <w:marTop w:val="0"/>
      <w:marBottom w:val="0"/>
      <w:divBdr>
        <w:top w:val="none" w:sz="0" w:space="0" w:color="auto"/>
        <w:left w:val="none" w:sz="0" w:space="0" w:color="auto"/>
        <w:bottom w:val="none" w:sz="0" w:space="0" w:color="auto"/>
        <w:right w:val="none" w:sz="0" w:space="0" w:color="auto"/>
      </w:divBdr>
    </w:div>
    <w:div w:id="1758595125">
      <w:bodyDiv w:val="1"/>
      <w:marLeft w:val="0"/>
      <w:marRight w:val="0"/>
      <w:marTop w:val="0"/>
      <w:marBottom w:val="0"/>
      <w:divBdr>
        <w:top w:val="none" w:sz="0" w:space="0" w:color="auto"/>
        <w:left w:val="none" w:sz="0" w:space="0" w:color="auto"/>
        <w:bottom w:val="none" w:sz="0" w:space="0" w:color="auto"/>
        <w:right w:val="none" w:sz="0" w:space="0" w:color="auto"/>
      </w:divBdr>
    </w:div>
    <w:div w:id="2010404205">
      <w:bodyDiv w:val="1"/>
      <w:marLeft w:val="0"/>
      <w:marRight w:val="0"/>
      <w:marTop w:val="0"/>
      <w:marBottom w:val="0"/>
      <w:divBdr>
        <w:top w:val="none" w:sz="0" w:space="0" w:color="auto"/>
        <w:left w:val="none" w:sz="0" w:space="0" w:color="auto"/>
        <w:bottom w:val="none" w:sz="0" w:space="0" w:color="auto"/>
        <w:right w:val="none" w:sz="0" w:space="0" w:color="auto"/>
      </w:divBdr>
    </w:div>
    <w:div w:id="2061591468">
      <w:bodyDiv w:val="1"/>
      <w:marLeft w:val="0"/>
      <w:marRight w:val="0"/>
      <w:marTop w:val="0"/>
      <w:marBottom w:val="0"/>
      <w:divBdr>
        <w:top w:val="none" w:sz="0" w:space="0" w:color="auto"/>
        <w:left w:val="none" w:sz="0" w:space="0" w:color="auto"/>
        <w:bottom w:val="none" w:sz="0" w:space="0" w:color="auto"/>
        <w:right w:val="none" w:sz="0" w:space="0" w:color="auto"/>
      </w:divBdr>
      <w:divsChild>
        <w:div w:id="1886795951">
          <w:marLeft w:val="0"/>
          <w:marRight w:val="0"/>
          <w:marTop w:val="0"/>
          <w:marBottom w:val="0"/>
          <w:divBdr>
            <w:top w:val="none" w:sz="0" w:space="0" w:color="auto"/>
            <w:left w:val="none" w:sz="0" w:space="0" w:color="auto"/>
            <w:bottom w:val="none" w:sz="0" w:space="0" w:color="auto"/>
            <w:right w:val="none" w:sz="0" w:space="0" w:color="auto"/>
          </w:divBdr>
          <w:divsChild>
            <w:div w:id="1976568085">
              <w:marLeft w:val="0"/>
              <w:marRight w:val="0"/>
              <w:marTop w:val="0"/>
              <w:marBottom w:val="0"/>
              <w:divBdr>
                <w:top w:val="none" w:sz="0" w:space="0" w:color="auto"/>
                <w:left w:val="none" w:sz="0" w:space="0" w:color="auto"/>
                <w:bottom w:val="none" w:sz="0" w:space="0" w:color="auto"/>
                <w:right w:val="none" w:sz="0" w:space="0" w:color="auto"/>
              </w:divBdr>
            </w:div>
          </w:divsChild>
        </w:div>
        <w:div w:id="1145439448">
          <w:marLeft w:val="0"/>
          <w:marRight w:val="0"/>
          <w:marTop w:val="0"/>
          <w:marBottom w:val="0"/>
          <w:divBdr>
            <w:top w:val="none" w:sz="0" w:space="0" w:color="auto"/>
            <w:left w:val="none" w:sz="0" w:space="0" w:color="auto"/>
            <w:bottom w:val="none" w:sz="0" w:space="0" w:color="auto"/>
            <w:right w:val="none" w:sz="0" w:space="0" w:color="auto"/>
          </w:divBdr>
          <w:divsChild>
            <w:div w:id="520554892">
              <w:marLeft w:val="0"/>
              <w:marRight w:val="0"/>
              <w:marTop w:val="0"/>
              <w:marBottom w:val="0"/>
              <w:divBdr>
                <w:top w:val="none" w:sz="0" w:space="0" w:color="auto"/>
                <w:left w:val="none" w:sz="0" w:space="0" w:color="auto"/>
                <w:bottom w:val="none" w:sz="0" w:space="0" w:color="auto"/>
                <w:right w:val="none" w:sz="0" w:space="0" w:color="auto"/>
              </w:divBdr>
            </w:div>
          </w:divsChild>
        </w:div>
        <w:div w:id="928662039">
          <w:marLeft w:val="0"/>
          <w:marRight w:val="0"/>
          <w:marTop w:val="0"/>
          <w:marBottom w:val="0"/>
          <w:divBdr>
            <w:top w:val="none" w:sz="0" w:space="0" w:color="auto"/>
            <w:left w:val="none" w:sz="0" w:space="0" w:color="auto"/>
            <w:bottom w:val="none" w:sz="0" w:space="0" w:color="auto"/>
            <w:right w:val="none" w:sz="0" w:space="0" w:color="auto"/>
          </w:divBdr>
          <w:divsChild>
            <w:div w:id="1817993191">
              <w:marLeft w:val="0"/>
              <w:marRight w:val="0"/>
              <w:marTop w:val="0"/>
              <w:marBottom w:val="0"/>
              <w:divBdr>
                <w:top w:val="none" w:sz="0" w:space="0" w:color="auto"/>
                <w:left w:val="none" w:sz="0" w:space="0" w:color="auto"/>
                <w:bottom w:val="none" w:sz="0" w:space="0" w:color="auto"/>
                <w:right w:val="none" w:sz="0" w:space="0" w:color="auto"/>
              </w:divBdr>
            </w:div>
          </w:divsChild>
        </w:div>
        <w:div w:id="820080416">
          <w:marLeft w:val="0"/>
          <w:marRight w:val="0"/>
          <w:marTop w:val="0"/>
          <w:marBottom w:val="0"/>
          <w:divBdr>
            <w:top w:val="none" w:sz="0" w:space="0" w:color="auto"/>
            <w:left w:val="none" w:sz="0" w:space="0" w:color="auto"/>
            <w:bottom w:val="none" w:sz="0" w:space="0" w:color="auto"/>
            <w:right w:val="none" w:sz="0" w:space="0" w:color="auto"/>
          </w:divBdr>
          <w:divsChild>
            <w:div w:id="2020236412">
              <w:marLeft w:val="0"/>
              <w:marRight w:val="0"/>
              <w:marTop w:val="0"/>
              <w:marBottom w:val="0"/>
              <w:divBdr>
                <w:top w:val="none" w:sz="0" w:space="0" w:color="auto"/>
                <w:left w:val="none" w:sz="0" w:space="0" w:color="auto"/>
                <w:bottom w:val="none" w:sz="0" w:space="0" w:color="auto"/>
                <w:right w:val="none" w:sz="0" w:space="0" w:color="auto"/>
              </w:divBdr>
            </w:div>
          </w:divsChild>
        </w:div>
        <w:div w:id="1075008524">
          <w:marLeft w:val="0"/>
          <w:marRight w:val="0"/>
          <w:marTop w:val="0"/>
          <w:marBottom w:val="0"/>
          <w:divBdr>
            <w:top w:val="none" w:sz="0" w:space="0" w:color="auto"/>
            <w:left w:val="none" w:sz="0" w:space="0" w:color="auto"/>
            <w:bottom w:val="none" w:sz="0" w:space="0" w:color="auto"/>
            <w:right w:val="none" w:sz="0" w:space="0" w:color="auto"/>
          </w:divBdr>
          <w:divsChild>
            <w:div w:id="14972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55602">
      <w:bodyDiv w:val="1"/>
      <w:marLeft w:val="0"/>
      <w:marRight w:val="0"/>
      <w:marTop w:val="0"/>
      <w:marBottom w:val="0"/>
      <w:divBdr>
        <w:top w:val="none" w:sz="0" w:space="0" w:color="auto"/>
        <w:left w:val="none" w:sz="0" w:space="0" w:color="auto"/>
        <w:bottom w:val="none" w:sz="0" w:space="0" w:color="auto"/>
        <w:right w:val="none" w:sz="0" w:space="0" w:color="auto"/>
      </w:divBdr>
      <w:divsChild>
        <w:div w:id="260723337">
          <w:marLeft w:val="0"/>
          <w:marRight w:val="0"/>
          <w:marTop w:val="0"/>
          <w:marBottom w:val="0"/>
          <w:divBdr>
            <w:top w:val="none" w:sz="0" w:space="0" w:color="auto"/>
            <w:left w:val="none" w:sz="0" w:space="0" w:color="auto"/>
            <w:bottom w:val="none" w:sz="0" w:space="0" w:color="auto"/>
            <w:right w:val="none" w:sz="0" w:space="0" w:color="auto"/>
          </w:divBdr>
          <w:divsChild>
            <w:div w:id="1629580643">
              <w:marLeft w:val="0"/>
              <w:marRight w:val="0"/>
              <w:marTop w:val="0"/>
              <w:marBottom w:val="0"/>
              <w:divBdr>
                <w:top w:val="none" w:sz="0" w:space="0" w:color="auto"/>
                <w:left w:val="none" w:sz="0" w:space="0" w:color="auto"/>
                <w:bottom w:val="none" w:sz="0" w:space="0" w:color="auto"/>
                <w:right w:val="none" w:sz="0" w:space="0" w:color="auto"/>
              </w:divBdr>
              <w:divsChild>
                <w:div w:id="1542862013">
                  <w:marLeft w:val="0"/>
                  <w:marRight w:val="0"/>
                  <w:marTop w:val="0"/>
                  <w:marBottom w:val="0"/>
                  <w:divBdr>
                    <w:top w:val="none" w:sz="0" w:space="0" w:color="auto"/>
                    <w:left w:val="none" w:sz="0" w:space="0" w:color="auto"/>
                    <w:bottom w:val="none" w:sz="0" w:space="0" w:color="auto"/>
                    <w:right w:val="none" w:sz="0" w:space="0" w:color="auto"/>
                  </w:divBdr>
                  <w:divsChild>
                    <w:div w:id="169374400">
                      <w:marLeft w:val="0"/>
                      <w:marRight w:val="0"/>
                      <w:marTop w:val="0"/>
                      <w:marBottom w:val="0"/>
                      <w:divBdr>
                        <w:top w:val="none" w:sz="0" w:space="0" w:color="auto"/>
                        <w:left w:val="none" w:sz="0" w:space="0" w:color="auto"/>
                        <w:bottom w:val="none" w:sz="0" w:space="0" w:color="auto"/>
                        <w:right w:val="none" w:sz="0" w:space="0" w:color="auto"/>
                      </w:divBdr>
                      <w:divsChild>
                        <w:div w:id="245726274">
                          <w:marLeft w:val="0"/>
                          <w:marRight w:val="0"/>
                          <w:marTop w:val="0"/>
                          <w:marBottom w:val="0"/>
                          <w:divBdr>
                            <w:top w:val="none" w:sz="0" w:space="0" w:color="auto"/>
                            <w:left w:val="none" w:sz="0" w:space="0" w:color="auto"/>
                            <w:bottom w:val="none" w:sz="0" w:space="0" w:color="auto"/>
                            <w:right w:val="none" w:sz="0" w:space="0" w:color="auto"/>
                          </w:divBdr>
                          <w:divsChild>
                            <w:div w:id="87045801">
                              <w:marLeft w:val="0"/>
                              <w:marRight w:val="0"/>
                              <w:marTop w:val="0"/>
                              <w:marBottom w:val="0"/>
                              <w:divBdr>
                                <w:top w:val="none" w:sz="0" w:space="0" w:color="auto"/>
                                <w:left w:val="none" w:sz="0" w:space="0" w:color="auto"/>
                                <w:bottom w:val="none" w:sz="0" w:space="0" w:color="auto"/>
                                <w:right w:val="none" w:sz="0" w:space="0" w:color="auto"/>
                              </w:divBdr>
                              <w:divsChild>
                                <w:div w:id="959799156">
                                  <w:marLeft w:val="0"/>
                                  <w:marRight w:val="0"/>
                                  <w:marTop w:val="0"/>
                                  <w:marBottom w:val="0"/>
                                  <w:divBdr>
                                    <w:top w:val="none" w:sz="0" w:space="0" w:color="auto"/>
                                    <w:left w:val="none" w:sz="0" w:space="0" w:color="auto"/>
                                    <w:bottom w:val="none" w:sz="0" w:space="0" w:color="auto"/>
                                    <w:right w:val="none" w:sz="0" w:space="0" w:color="auto"/>
                                  </w:divBdr>
                                  <w:divsChild>
                                    <w:div w:id="17720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93B61-24CA-44FC-AF3E-30D9BD087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3586</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2026-07-19T05:00:00Z</dcterms:created>
  <dcterms:modified xsi:type="dcterms:W3CDTF">2026-07-19T05:00:00Z</dcterms:modified>
</cp:coreProperties>
</file>