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DCE" w:rsidRPr="00F14DCE" w:rsidRDefault="00F14DCE" w:rsidP="00F14DCE">
      <w:pPr>
        <w:pStyle w:val="Title"/>
        <w:pBdr>
          <w:bottom w:val="none" w:sz="0" w:space="0" w:color="auto"/>
        </w:pBdr>
        <w:jc w:val="both"/>
        <w:rPr>
          <w:rFonts w:ascii="Times New Roman" w:hAnsi="Times New Roman" w:cs="Times New Roman"/>
          <w:i/>
          <w:color w:val="auto"/>
          <w:sz w:val="28"/>
          <w:szCs w:val="28"/>
        </w:rPr>
      </w:pPr>
      <w:r w:rsidRPr="00F14DCE">
        <w:rPr>
          <w:rFonts w:ascii="Times New Roman" w:hAnsi="Times New Roman" w:cs="Times New Roman"/>
          <w:i/>
          <w:color w:val="auto"/>
          <w:sz w:val="28"/>
          <w:szCs w:val="28"/>
        </w:rPr>
        <w:t>Review article</w:t>
      </w:r>
    </w:p>
    <w:p w:rsidR="002F13EA" w:rsidRDefault="008919BD" w:rsidP="00F14DCE">
      <w:pPr>
        <w:pStyle w:val="Title"/>
        <w:pBdr>
          <w:bottom w:val="none" w:sz="0" w:space="0" w:color="auto"/>
        </w:pBdr>
        <w:jc w:val="both"/>
        <w:rPr>
          <w:rFonts w:ascii="Times New Roman" w:hAnsi="Times New Roman" w:cs="Times New Roman"/>
          <w:color w:val="auto"/>
          <w:sz w:val="40"/>
          <w:szCs w:val="40"/>
        </w:rPr>
      </w:pPr>
      <w:r w:rsidRPr="001C2947">
        <w:rPr>
          <w:rFonts w:ascii="Times New Roman" w:hAnsi="Times New Roman" w:cs="Times New Roman"/>
          <w:color w:val="auto"/>
          <w:sz w:val="40"/>
          <w:szCs w:val="40"/>
        </w:rPr>
        <w:t>Mild Traumatic Brain Injury: Contemporary Evaluation, Management, and Emerging Directions</w:t>
      </w:r>
    </w:p>
    <w:p w:rsidR="00534E43" w:rsidRPr="00534E43" w:rsidRDefault="00534E43" w:rsidP="00534E43">
      <w:pPr>
        <w:rPr>
          <w:i/>
          <w:sz w:val="36"/>
          <w:szCs w:val="36"/>
        </w:rPr>
      </w:pPr>
      <w:r w:rsidRPr="00534E43">
        <w:rPr>
          <w:i/>
          <w:sz w:val="36"/>
          <w:szCs w:val="36"/>
        </w:rPr>
        <w:t>Current Concepts in Mild Traumatic Brain Injury</w:t>
      </w:r>
    </w:p>
    <w:p w:rsidR="00DB0BB4" w:rsidRDefault="00DB0BB4">
      <w:pPr>
        <w:pStyle w:val="Heading1"/>
        <w:spacing w:before="160" w:after="60"/>
        <w:rPr>
          <w:rFonts w:ascii="Times New Roman" w:hAnsi="Times New Roman" w:cs="Times New Roman"/>
          <w:color w:val="auto"/>
          <w:sz w:val="24"/>
          <w:szCs w:val="24"/>
        </w:rPr>
      </w:pPr>
    </w:p>
    <w:p w:rsidR="002F13EA" w:rsidRPr="00C7008C" w:rsidRDefault="008919BD">
      <w:pPr>
        <w:pStyle w:val="Heading1"/>
        <w:spacing w:before="160" w:after="60"/>
        <w:rPr>
          <w:rFonts w:ascii="Times New Roman" w:hAnsi="Times New Roman" w:cs="Times New Roman"/>
          <w:color w:val="auto"/>
          <w:sz w:val="24"/>
          <w:szCs w:val="24"/>
        </w:rPr>
      </w:pPr>
      <w:r w:rsidRPr="00C7008C">
        <w:rPr>
          <w:rFonts w:ascii="Times New Roman" w:hAnsi="Times New Roman" w:cs="Times New Roman"/>
          <w:color w:val="auto"/>
          <w:sz w:val="24"/>
          <w:szCs w:val="24"/>
        </w:rPr>
        <w:t>Abstract</w:t>
      </w:r>
    </w:p>
    <w:p w:rsidR="002F13EA" w:rsidRPr="00C7008C" w:rsidRDefault="008919BD">
      <w:pPr>
        <w:spacing w:after="100"/>
        <w:jc w:val="both"/>
        <w:rPr>
          <w:rFonts w:cs="Times New Roman"/>
          <w:sz w:val="24"/>
          <w:szCs w:val="24"/>
        </w:rPr>
      </w:pPr>
      <w:r w:rsidRPr="00C7008C">
        <w:rPr>
          <w:rFonts w:cs="Times New Roman"/>
          <w:sz w:val="24"/>
          <w:szCs w:val="24"/>
        </w:rPr>
        <w:t>Mild traumatic brain injury (mTBI), commonly referred to as concussion or mild head injury, constitutes approximately 70-90% of traumatic brain injuries. Although most patients recover within several weeks, a clinically important minority develop intracranial complications or persistent physical, cognitive, vestibular, emotional, and occupational impairment. The heterogeneous presentation of mTBI and the frequent absence of abnormalities on conventional neuroimaging complicate diagnosis, risk stratification, and prognostication. Acute management therefore focuses on identifying patients who require computed tomography (CT), neurosurgical assessment, observation, or admission while avoiding unnecessary imaging and hospitalization in low-risk patients. The Canadian CT Head Rule and New Orleans Criteria remain highly sensitive clinical decision tools</w:t>
      </w:r>
      <w:r w:rsidR="00165F04" w:rsidRPr="00C7008C">
        <w:rPr>
          <w:rFonts w:cs="Times New Roman"/>
          <w:sz w:val="24"/>
          <w:szCs w:val="24"/>
        </w:rPr>
        <w:t>.</w:t>
      </w:r>
      <w:r w:rsidRPr="00C7008C">
        <w:rPr>
          <w:rFonts w:cs="Times New Roman"/>
          <w:sz w:val="24"/>
          <w:szCs w:val="24"/>
        </w:rPr>
        <w:t xml:space="preserve"> Contemporary management recommends brief relative rest followed by progressive return to cognitive and physical activity, structured patient education, symptom-directed treatment, and early recognition of factors associated with persistent symptoms. Blood biomarkers, particularly glial fibrillary acidic protein and ubiquitin carboxyl-terminal hydrolase-L1, may support CT triage and outcome prediction, but should complement rather than replace clinical assessment. Artificial intelligence-based approaches show potential in automated imaging analysis and prognostication; however, external validation, interpretability, and demonstration of clinical benefit remain limited. This narrative review summarizes contemporary concepts in the definition, pathophysiology, assessment, imaging, treatment, and follow-up of adult mTBI.</w:t>
      </w:r>
    </w:p>
    <w:p w:rsidR="002F13EA" w:rsidRPr="001C2947" w:rsidRDefault="008919BD">
      <w:pPr>
        <w:spacing w:after="160"/>
        <w:rPr>
          <w:rFonts w:cs="Times New Roman"/>
          <w:i/>
          <w:iCs/>
          <w:sz w:val="24"/>
          <w:szCs w:val="24"/>
        </w:rPr>
      </w:pPr>
      <w:r w:rsidRPr="001C2947">
        <w:rPr>
          <w:rFonts w:cs="Times New Roman"/>
          <w:b/>
          <w:i/>
          <w:iCs/>
          <w:sz w:val="24"/>
          <w:szCs w:val="24"/>
        </w:rPr>
        <w:t xml:space="preserve">Keywords: </w:t>
      </w:r>
      <w:r w:rsidRPr="001C2947">
        <w:rPr>
          <w:rFonts w:cs="Times New Roman"/>
          <w:i/>
          <w:iCs/>
          <w:sz w:val="24"/>
          <w:szCs w:val="24"/>
        </w:rPr>
        <w:t>concussion; mild traumatic brain injury; mild head injury; computed tomography; post-concussion sy</w:t>
      </w:r>
      <w:r w:rsidR="00FF0870" w:rsidRPr="001C2947">
        <w:rPr>
          <w:rFonts w:cs="Times New Roman"/>
          <w:i/>
          <w:iCs/>
          <w:sz w:val="24"/>
          <w:szCs w:val="24"/>
        </w:rPr>
        <w:t>ndrome</w:t>
      </w:r>
      <w:r w:rsidRPr="001C2947">
        <w:rPr>
          <w:rFonts w:cs="Times New Roman"/>
          <w:i/>
          <w:iCs/>
          <w:sz w:val="24"/>
          <w:szCs w:val="24"/>
        </w:rPr>
        <w:t>; artificial intelligence.</w:t>
      </w:r>
    </w:p>
    <w:p w:rsidR="002F13EA" w:rsidRPr="001C2947" w:rsidRDefault="008919BD">
      <w:pPr>
        <w:pStyle w:val="Heading1"/>
        <w:spacing w:before="160" w:after="60"/>
        <w:rPr>
          <w:rFonts w:ascii="Times New Roman" w:hAnsi="Times New Roman" w:cs="Times New Roman"/>
          <w:color w:val="auto"/>
          <w:sz w:val="28"/>
        </w:rPr>
      </w:pPr>
      <w:r w:rsidRPr="001C2947">
        <w:rPr>
          <w:rFonts w:ascii="Times New Roman" w:hAnsi="Times New Roman" w:cs="Times New Roman"/>
          <w:color w:val="auto"/>
          <w:sz w:val="28"/>
        </w:rPr>
        <w:t>Introduction</w:t>
      </w:r>
    </w:p>
    <w:p w:rsidR="002F13EA" w:rsidRPr="00C7008C" w:rsidRDefault="008919BD">
      <w:pPr>
        <w:spacing w:after="100"/>
        <w:jc w:val="both"/>
        <w:rPr>
          <w:rFonts w:cs="Times New Roman"/>
          <w:sz w:val="24"/>
          <w:szCs w:val="24"/>
        </w:rPr>
      </w:pPr>
      <w:r w:rsidRPr="00C7008C">
        <w:rPr>
          <w:rFonts w:cs="Times New Roman"/>
          <w:sz w:val="24"/>
          <w:szCs w:val="24"/>
        </w:rPr>
        <w:t xml:space="preserve">Traumatic brain injury is a major cause of morbidity, disability, and socioeconomic loss worldwide. Mild traumatic brain injury accounts for most presentations, but its burden is underestimated because many affected individuals do not seek medical attention. The American College of Surgeons estimates that 50-60 million people experience TBI annually, with global economic costs approximating US$400 </w:t>
      </w:r>
      <w:r w:rsidRPr="001C2947">
        <w:rPr>
          <w:rFonts w:cs="Times New Roman"/>
          <w:sz w:val="24"/>
          <w:szCs w:val="24"/>
          <w:highlight w:val="green"/>
        </w:rPr>
        <w:t>billion.</w:t>
      </w:r>
      <w:r w:rsidR="001C2947" w:rsidRPr="001C2947">
        <w:rPr>
          <w:rFonts w:cs="Times New Roman"/>
          <w:sz w:val="24"/>
          <w:szCs w:val="24"/>
          <w:highlight w:val="green"/>
        </w:rPr>
        <w:t>[</w:t>
      </w:r>
      <w:r w:rsidRPr="001C2947">
        <w:rPr>
          <w:rFonts w:cs="Times New Roman"/>
          <w:sz w:val="24"/>
          <w:szCs w:val="24"/>
          <w:highlight w:val="green"/>
        </w:rPr>
        <w:t>1</w:t>
      </w:r>
      <w:r w:rsidR="001C2947" w:rsidRPr="001C2947">
        <w:rPr>
          <w:rFonts w:cs="Times New Roman"/>
          <w:sz w:val="24"/>
          <w:szCs w:val="24"/>
          <w:highlight w:val="green"/>
        </w:rPr>
        <w:t>]</w:t>
      </w:r>
      <w:r w:rsidRPr="00C7008C">
        <w:rPr>
          <w:rFonts w:cs="Times New Roman"/>
          <w:sz w:val="24"/>
          <w:szCs w:val="24"/>
        </w:rPr>
        <w:t xml:space="preserve"> Mild injuries nevertheless represent a heterogeneous spectrum ranging from transient neurological dysfunction without visible structural injury to CT-positive intracranial </w:t>
      </w:r>
      <w:r w:rsidR="001C2947" w:rsidRPr="00C7008C">
        <w:rPr>
          <w:rFonts w:cs="Times New Roman"/>
          <w:sz w:val="24"/>
          <w:szCs w:val="24"/>
        </w:rPr>
        <w:t>hemorrhage</w:t>
      </w:r>
      <w:r w:rsidRPr="00C7008C">
        <w:rPr>
          <w:rFonts w:cs="Times New Roman"/>
          <w:sz w:val="24"/>
          <w:szCs w:val="24"/>
        </w:rPr>
        <w:t xml:space="preserve"> requiring intervention.</w:t>
      </w:r>
    </w:p>
    <w:p w:rsidR="002F13EA" w:rsidRPr="00C7008C" w:rsidRDefault="008919BD">
      <w:pPr>
        <w:spacing w:after="100"/>
        <w:jc w:val="both"/>
        <w:rPr>
          <w:rFonts w:cs="Times New Roman"/>
          <w:sz w:val="24"/>
          <w:szCs w:val="24"/>
        </w:rPr>
      </w:pPr>
      <w:r w:rsidRPr="00C7008C">
        <w:rPr>
          <w:rFonts w:cs="Times New Roman"/>
          <w:sz w:val="24"/>
          <w:szCs w:val="24"/>
        </w:rPr>
        <w:t xml:space="preserve">The term mild refers primarily to the initial level of consciousness and should not be interpreted as predicting an invariably benign outcome. A meta-analysis of patients presenting with a Glasgow Coma Scale (GCS) score of 15 after loss of consciousness or amnesia reported acute CT </w:t>
      </w:r>
      <w:r w:rsidRPr="00C7008C">
        <w:rPr>
          <w:rFonts w:cs="Times New Roman"/>
          <w:sz w:val="24"/>
          <w:szCs w:val="24"/>
        </w:rPr>
        <w:lastRenderedPageBreak/>
        <w:t xml:space="preserve">abnormalities in approximately 8%, complications requiring intervention in 0.9%, and mortality in </w:t>
      </w:r>
      <w:r w:rsidRPr="001C2947">
        <w:rPr>
          <w:rFonts w:cs="Times New Roman"/>
          <w:sz w:val="24"/>
          <w:szCs w:val="24"/>
          <w:highlight w:val="green"/>
        </w:rPr>
        <w:t>0.1%.</w:t>
      </w:r>
      <w:r w:rsidR="001C2947" w:rsidRPr="001C2947">
        <w:rPr>
          <w:rFonts w:cs="Times New Roman"/>
          <w:sz w:val="24"/>
          <w:szCs w:val="24"/>
          <w:highlight w:val="green"/>
        </w:rPr>
        <w:t xml:space="preserve"> [</w:t>
      </w:r>
      <w:r w:rsidRPr="001C2947">
        <w:rPr>
          <w:rFonts w:cs="Times New Roman"/>
          <w:sz w:val="24"/>
          <w:szCs w:val="24"/>
          <w:highlight w:val="green"/>
        </w:rPr>
        <w:t>2</w:t>
      </w:r>
      <w:r w:rsidR="001C2947" w:rsidRPr="001C2947">
        <w:rPr>
          <w:rFonts w:cs="Times New Roman"/>
          <w:sz w:val="24"/>
          <w:szCs w:val="24"/>
          <w:highlight w:val="green"/>
        </w:rPr>
        <w:t>]</w:t>
      </w:r>
      <w:r w:rsidRPr="00C7008C">
        <w:rPr>
          <w:rFonts w:cs="Times New Roman"/>
          <w:sz w:val="24"/>
          <w:szCs w:val="24"/>
        </w:rPr>
        <w:t xml:space="preserve"> Most patients recover within weeks, but approximately 5-15% may continue to experience symptoms at </w:t>
      </w:r>
      <w:r w:rsidRPr="00620BF4">
        <w:rPr>
          <w:rFonts w:cs="Times New Roman"/>
          <w:sz w:val="24"/>
          <w:szCs w:val="24"/>
          <w:highlight w:val="green"/>
        </w:rPr>
        <w:t>one year.</w:t>
      </w:r>
      <w:r w:rsidR="001C2947" w:rsidRPr="00620BF4">
        <w:rPr>
          <w:rFonts w:cs="Times New Roman"/>
          <w:sz w:val="24"/>
          <w:szCs w:val="24"/>
          <w:highlight w:val="green"/>
        </w:rPr>
        <w:t xml:space="preserve"> [</w:t>
      </w:r>
      <w:r w:rsidRPr="00620BF4">
        <w:rPr>
          <w:rFonts w:cs="Times New Roman"/>
          <w:sz w:val="24"/>
          <w:szCs w:val="24"/>
          <w:highlight w:val="green"/>
        </w:rPr>
        <w:t>3</w:t>
      </w:r>
      <w:r w:rsidR="001C2947" w:rsidRPr="00620BF4">
        <w:rPr>
          <w:rFonts w:cs="Times New Roman"/>
          <w:sz w:val="24"/>
          <w:szCs w:val="24"/>
          <w:highlight w:val="green"/>
        </w:rPr>
        <w:t>]</w:t>
      </w:r>
    </w:p>
    <w:p w:rsidR="002F13EA" w:rsidRPr="00C7008C" w:rsidRDefault="008919BD">
      <w:pPr>
        <w:spacing w:after="100"/>
        <w:jc w:val="both"/>
        <w:rPr>
          <w:rFonts w:cs="Times New Roman"/>
          <w:sz w:val="24"/>
          <w:szCs w:val="24"/>
        </w:rPr>
      </w:pPr>
      <w:r w:rsidRPr="00C7008C">
        <w:rPr>
          <w:rFonts w:cs="Times New Roman"/>
          <w:sz w:val="24"/>
          <w:szCs w:val="24"/>
        </w:rPr>
        <w:t>The clinical challenge is therefore twofold: to identify the small proportion at risk of deterioration while providing appropriate education and follow-up to those likely to develop persistent symptoms. This review discusses the contemporary evaluation and management of adult mTBI, with particular emphasis on CT decision rules, post-concussion care, biomarkers, and artificial intelligence.</w:t>
      </w:r>
    </w:p>
    <w:p w:rsidR="002F13EA" w:rsidRPr="0037623C" w:rsidRDefault="008919BD">
      <w:pPr>
        <w:pStyle w:val="Heading1"/>
        <w:spacing w:before="160" w:after="60"/>
        <w:rPr>
          <w:rFonts w:ascii="Times New Roman" w:hAnsi="Times New Roman" w:cs="Times New Roman"/>
          <w:color w:val="auto"/>
          <w:sz w:val="28"/>
        </w:rPr>
      </w:pPr>
      <w:r w:rsidRPr="0037623C">
        <w:rPr>
          <w:rFonts w:ascii="Times New Roman" w:hAnsi="Times New Roman" w:cs="Times New Roman"/>
          <w:color w:val="auto"/>
          <w:sz w:val="28"/>
        </w:rPr>
        <w:t>Definition and classification</w:t>
      </w:r>
    </w:p>
    <w:p w:rsidR="002F13EA" w:rsidRPr="00C7008C" w:rsidRDefault="008919BD">
      <w:pPr>
        <w:spacing w:after="100"/>
        <w:jc w:val="both"/>
        <w:rPr>
          <w:rFonts w:cs="Times New Roman"/>
          <w:sz w:val="24"/>
          <w:szCs w:val="24"/>
        </w:rPr>
      </w:pPr>
      <w:r w:rsidRPr="00C7008C">
        <w:rPr>
          <w:rFonts w:cs="Times New Roman"/>
          <w:sz w:val="24"/>
          <w:szCs w:val="24"/>
        </w:rPr>
        <w:t xml:space="preserve">Mild traumatic brain injury is a traumatically induced physiological disruption of brain function following direct impact, acceleration-deceleration, rotational forces, or transmitted mechanical energy. Diagnostic features may include loss of consciousness, post-traumatic amnesia, confusion or disorientation, alteration of mental state, </w:t>
      </w:r>
      <w:r w:rsidR="00596D85">
        <w:rPr>
          <w:rFonts w:cs="Times New Roman"/>
          <w:sz w:val="24"/>
          <w:szCs w:val="24"/>
        </w:rPr>
        <w:t xml:space="preserve">or </w:t>
      </w:r>
      <w:r w:rsidRPr="00C7008C">
        <w:rPr>
          <w:rFonts w:cs="Times New Roman"/>
          <w:sz w:val="24"/>
          <w:szCs w:val="24"/>
        </w:rPr>
        <w:t xml:space="preserve">transient neurological </w:t>
      </w:r>
      <w:r w:rsidRPr="00596D85">
        <w:rPr>
          <w:rFonts w:cs="Times New Roman"/>
          <w:sz w:val="24"/>
          <w:szCs w:val="24"/>
          <w:highlight w:val="green"/>
        </w:rPr>
        <w:t>deficits.</w:t>
      </w:r>
      <w:r w:rsidR="00596D85" w:rsidRPr="00596D85">
        <w:rPr>
          <w:rFonts w:cs="Times New Roman"/>
          <w:sz w:val="24"/>
          <w:szCs w:val="24"/>
          <w:highlight w:val="green"/>
        </w:rPr>
        <w:t xml:space="preserve"> [</w:t>
      </w:r>
      <w:r w:rsidRPr="00596D85">
        <w:rPr>
          <w:rFonts w:cs="Times New Roman"/>
          <w:sz w:val="24"/>
          <w:szCs w:val="24"/>
          <w:highlight w:val="green"/>
        </w:rPr>
        <w:t>4-6</w:t>
      </w:r>
      <w:r w:rsidR="00596D85" w:rsidRPr="00596D85">
        <w:rPr>
          <w:rFonts w:cs="Times New Roman"/>
          <w:sz w:val="24"/>
          <w:szCs w:val="24"/>
          <w:highlight w:val="green"/>
        </w:rPr>
        <w:t>]</w:t>
      </w:r>
    </w:p>
    <w:p w:rsidR="002F13EA" w:rsidRPr="00C7008C" w:rsidRDefault="008919BD">
      <w:pPr>
        <w:spacing w:after="100"/>
        <w:jc w:val="both"/>
        <w:rPr>
          <w:rFonts w:cs="Times New Roman"/>
          <w:sz w:val="24"/>
          <w:szCs w:val="24"/>
        </w:rPr>
      </w:pPr>
      <w:r w:rsidRPr="00C7008C">
        <w:rPr>
          <w:rFonts w:cs="Times New Roman"/>
          <w:sz w:val="24"/>
          <w:szCs w:val="24"/>
        </w:rPr>
        <w:t xml:space="preserve">Traditional severity classification uses a GCS score of 13-15, loss of consciousness lasting no longer than 30 minutes, and post-traumatic amnesia lasting less than 24 hours. Nevertheless, the GCS was developed to assess impaired consciousness rather than the subtleties of concussion. A normal GCS does not exclude amnesia, vestibular dysfunction, cognitive impairment, or intracranial injury. The 2026 Massachusetts guideline consequently emphasizes the traumatic mechanism and acute neurological features and states that GCS alone should not be used to establish the </w:t>
      </w:r>
      <w:r w:rsidRPr="00417908">
        <w:rPr>
          <w:rFonts w:cs="Times New Roman"/>
          <w:sz w:val="24"/>
          <w:szCs w:val="24"/>
          <w:highlight w:val="green"/>
        </w:rPr>
        <w:t>diagnosis.</w:t>
      </w:r>
      <w:r w:rsidR="00417908" w:rsidRPr="00417908">
        <w:rPr>
          <w:rFonts w:cs="Times New Roman"/>
          <w:sz w:val="24"/>
          <w:szCs w:val="24"/>
          <w:highlight w:val="green"/>
        </w:rPr>
        <w:t xml:space="preserve"> [</w:t>
      </w:r>
      <w:r w:rsidRPr="00417908">
        <w:rPr>
          <w:rFonts w:cs="Times New Roman"/>
          <w:sz w:val="24"/>
          <w:szCs w:val="24"/>
          <w:highlight w:val="green"/>
        </w:rPr>
        <w:t>6</w:t>
      </w:r>
      <w:r w:rsidR="00417908" w:rsidRPr="00417908">
        <w:rPr>
          <w:rFonts w:cs="Times New Roman"/>
          <w:sz w:val="24"/>
          <w:szCs w:val="24"/>
          <w:highlight w:val="green"/>
        </w:rPr>
        <w:t>]</w:t>
      </w:r>
    </w:p>
    <w:p w:rsidR="002F13EA" w:rsidRPr="00C7008C" w:rsidRDefault="008919BD">
      <w:pPr>
        <w:spacing w:after="100"/>
        <w:jc w:val="both"/>
        <w:rPr>
          <w:rFonts w:cs="Times New Roman"/>
          <w:sz w:val="24"/>
          <w:szCs w:val="24"/>
        </w:rPr>
      </w:pPr>
      <w:r w:rsidRPr="00C7008C">
        <w:rPr>
          <w:rFonts w:cs="Times New Roman"/>
          <w:sz w:val="24"/>
          <w:szCs w:val="24"/>
        </w:rPr>
        <w:t xml:space="preserve">Terminology also remains inconsistent. Head injury includes injury to the scalp, face, skull, or brain, whereas mTBI specifically implies altered cerebral function. Concussion is generally regarded as a clinical subtype of mTBI dominated by transient functional disturbance, with or without loss of </w:t>
      </w:r>
      <w:r w:rsidRPr="001E7FFE">
        <w:rPr>
          <w:rFonts w:cs="Times New Roman"/>
          <w:sz w:val="24"/>
          <w:szCs w:val="24"/>
          <w:highlight w:val="green"/>
        </w:rPr>
        <w:t>consciousness.</w:t>
      </w:r>
      <w:r w:rsidR="001E7FFE" w:rsidRPr="001E7FFE">
        <w:rPr>
          <w:rFonts w:cs="Times New Roman"/>
          <w:sz w:val="24"/>
          <w:szCs w:val="24"/>
          <w:highlight w:val="green"/>
        </w:rPr>
        <w:t xml:space="preserve"> [</w:t>
      </w:r>
      <w:r w:rsidRPr="001E7FFE">
        <w:rPr>
          <w:rFonts w:cs="Times New Roman"/>
          <w:sz w:val="24"/>
          <w:szCs w:val="24"/>
          <w:highlight w:val="green"/>
        </w:rPr>
        <w:t>3</w:t>
      </w:r>
      <w:r w:rsidR="001E7FFE" w:rsidRPr="001E7FFE">
        <w:rPr>
          <w:rFonts w:cs="Times New Roman"/>
          <w:sz w:val="24"/>
          <w:szCs w:val="24"/>
          <w:highlight w:val="green"/>
        </w:rPr>
        <w:t>]</w:t>
      </w:r>
    </w:p>
    <w:p w:rsidR="002F13EA" w:rsidRPr="005E0A2D" w:rsidRDefault="008919BD">
      <w:pPr>
        <w:pStyle w:val="Heading1"/>
        <w:spacing w:before="160" w:after="60"/>
        <w:rPr>
          <w:rFonts w:ascii="Times New Roman" w:hAnsi="Times New Roman" w:cs="Times New Roman"/>
          <w:color w:val="auto"/>
          <w:sz w:val="28"/>
        </w:rPr>
      </w:pPr>
      <w:r w:rsidRPr="005E0A2D">
        <w:rPr>
          <w:rFonts w:ascii="Times New Roman" w:hAnsi="Times New Roman" w:cs="Times New Roman"/>
          <w:color w:val="auto"/>
          <w:sz w:val="28"/>
        </w:rPr>
        <w:t>Pathophysiology</w:t>
      </w:r>
    </w:p>
    <w:p w:rsidR="002F13EA" w:rsidRDefault="008919BD">
      <w:pPr>
        <w:spacing w:after="100"/>
        <w:jc w:val="both"/>
        <w:rPr>
          <w:rFonts w:cs="Times New Roman"/>
          <w:sz w:val="24"/>
          <w:szCs w:val="24"/>
        </w:rPr>
      </w:pPr>
      <w:r w:rsidRPr="00C7008C">
        <w:rPr>
          <w:rFonts w:cs="Times New Roman"/>
          <w:sz w:val="24"/>
          <w:szCs w:val="24"/>
        </w:rPr>
        <w:t>The initial mechanical insult subjects the brain to linear and rotational acceleration, producing neuronal membrane deformation</w:t>
      </w:r>
      <w:r w:rsidR="00B23B0B">
        <w:rPr>
          <w:rFonts w:cs="Times New Roman"/>
          <w:sz w:val="24"/>
          <w:szCs w:val="24"/>
        </w:rPr>
        <w:t xml:space="preserve"> and injury</w:t>
      </w:r>
      <w:r w:rsidRPr="00C7008C">
        <w:rPr>
          <w:rFonts w:cs="Times New Roman"/>
          <w:sz w:val="24"/>
          <w:szCs w:val="24"/>
        </w:rPr>
        <w:t xml:space="preserve">, axonal stretching, and disruption of cerebral networks. The resulting ionic disequilibrium includes potassium efflux and sodium and calcium influx, accompanied by excessive release of excitatory neurotransmitters such as </w:t>
      </w:r>
      <w:r w:rsidRPr="00B23B0B">
        <w:rPr>
          <w:rFonts w:cs="Times New Roman"/>
          <w:sz w:val="24"/>
          <w:szCs w:val="24"/>
          <w:highlight w:val="green"/>
        </w:rPr>
        <w:t>glutamate.</w:t>
      </w:r>
      <w:r w:rsidR="00B23B0B" w:rsidRPr="00B23B0B">
        <w:rPr>
          <w:rFonts w:cs="Times New Roman"/>
          <w:sz w:val="24"/>
          <w:szCs w:val="24"/>
          <w:highlight w:val="green"/>
        </w:rPr>
        <w:t xml:space="preserve"> [</w:t>
      </w:r>
      <w:r w:rsidRPr="00B23B0B">
        <w:rPr>
          <w:rFonts w:cs="Times New Roman"/>
          <w:sz w:val="24"/>
          <w:szCs w:val="24"/>
          <w:highlight w:val="green"/>
        </w:rPr>
        <w:t>7</w:t>
      </w:r>
      <w:r w:rsidR="00B23B0B" w:rsidRPr="00B23B0B">
        <w:rPr>
          <w:rFonts w:cs="Times New Roman"/>
          <w:sz w:val="24"/>
          <w:szCs w:val="24"/>
          <w:highlight w:val="green"/>
        </w:rPr>
        <w:t>]</w:t>
      </w:r>
      <w:r w:rsidRPr="00C7008C">
        <w:rPr>
          <w:rFonts w:cs="Times New Roman"/>
          <w:sz w:val="24"/>
          <w:szCs w:val="24"/>
        </w:rPr>
        <w:t xml:space="preserve"> Restoration of ionic gradients increases glucose consumption at a time when cerebral blood flow may be reduced, creating an acute mismatch between energy demand and </w:t>
      </w:r>
      <w:r w:rsidRPr="000F5DA5">
        <w:rPr>
          <w:rFonts w:cs="Times New Roman"/>
          <w:sz w:val="24"/>
          <w:szCs w:val="24"/>
          <w:highlight w:val="yellow"/>
        </w:rPr>
        <w:t>supply.</w:t>
      </w:r>
      <w:r w:rsidR="000F5DA5" w:rsidRPr="000F5DA5">
        <w:rPr>
          <w:rFonts w:cs="Times New Roman"/>
          <w:sz w:val="24"/>
          <w:szCs w:val="24"/>
          <w:highlight w:val="yellow"/>
        </w:rPr>
        <w:t xml:space="preserve"> (Figure 1)</w:t>
      </w:r>
    </w:p>
    <w:p w:rsidR="000F5DA5" w:rsidRDefault="000F5DA5">
      <w:pPr>
        <w:spacing w:after="100"/>
        <w:jc w:val="both"/>
        <w:rPr>
          <w:rFonts w:cs="Times New Roman"/>
          <w:sz w:val="24"/>
          <w:szCs w:val="24"/>
        </w:rPr>
      </w:pPr>
    </w:p>
    <w:p w:rsidR="000F5DA5" w:rsidRDefault="000F5DA5">
      <w:pPr>
        <w:spacing w:after="100"/>
        <w:jc w:val="both"/>
        <w:rPr>
          <w:rFonts w:cs="Times New Roman"/>
          <w:sz w:val="24"/>
          <w:szCs w:val="24"/>
        </w:rPr>
      </w:pPr>
      <w:r>
        <w:rPr>
          <w:rFonts w:cs="Times New Roman"/>
          <w:noProof/>
          <w:sz w:val="24"/>
          <w:szCs w:val="24"/>
        </w:rPr>
        <w:lastRenderedPageBreak/>
        <w:drawing>
          <wp:inline distT="0" distB="0" distL="0" distR="0">
            <wp:extent cx="6198577" cy="4687608"/>
            <wp:effectExtent l="38100" t="57150" r="106973" b="93942"/>
            <wp:docPr id="1" name="Picture 0" descr="photo_2026-07-15_10-3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7-15_10-31-27.jpg"/>
                    <pic:cNvPicPr/>
                  </pic:nvPicPr>
                  <pic:blipFill>
                    <a:blip r:embed="rId8"/>
                    <a:stretch>
                      <a:fillRect/>
                    </a:stretch>
                  </pic:blipFill>
                  <pic:spPr>
                    <a:xfrm>
                      <a:off x="0" y="0"/>
                      <a:ext cx="6200789" cy="468928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F5DA5" w:rsidRPr="000F5DA5" w:rsidRDefault="000F5DA5" w:rsidP="000F5DA5">
      <w:pPr>
        <w:spacing w:after="100"/>
        <w:jc w:val="center"/>
        <w:rPr>
          <w:rFonts w:cs="Times New Roman"/>
          <w:i/>
          <w:sz w:val="24"/>
          <w:szCs w:val="24"/>
        </w:rPr>
      </w:pPr>
      <w:r w:rsidRPr="000F5DA5">
        <w:rPr>
          <w:rFonts w:cs="Times New Roman"/>
          <w:i/>
          <w:sz w:val="24"/>
          <w:szCs w:val="24"/>
        </w:rPr>
        <w:t>Figure 1: Flowchart depicting the events following brain trauma</w:t>
      </w:r>
      <w:r w:rsidR="002B577B">
        <w:rPr>
          <w:rFonts w:cs="Times New Roman"/>
          <w:i/>
          <w:sz w:val="24"/>
          <w:szCs w:val="24"/>
        </w:rPr>
        <w:t xml:space="preserve"> (created by authors)</w:t>
      </w:r>
    </w:p>
    <w:p w:rsidR="000F5DA5" w:rsidRDefault="000F5DA5">
      <w:pPr>
        <w:spacing w:after="100"/>
        <w:jc w:val="both"/>
        <w:rPr>
          <w:rFonts w:cs="Times New Roman"/>
          <w:sz w:val="24"/>
          <w:szCs w:val="24"/>
        </w:rPr>
      </w:pPr>
    </w:p>
    <w:p w:rsidR="002F13EA" w:rsidRPr="00C7008C" w:rsidRDefault="008919BD">
      <w:pPr>
        <w:spacing w:after="100"/>
        <w:jc w:val="both"/>
        <w:rPr>
          <w:rFonts w:cs="Times New Roman"/>
          <w:sz w:val="24"/>
          <w:szCs w:val="24"/>
        </w:rPr>
      </w:pPr>
      <w:r w:rsidRPr="00C7008C">
        <w:rPr>
          <w:rFonts w:cs="Times New Roman"/>
          <w:sz w:val="24"/>
          <w:szCs w:val="24"/>
        </w:rPr>
        <w:t xml:space="preserve">Intracellular calcium accumulation impairs mitochondrial function, decreases adenosine triphosphate production, and promotes oxidative stress. Cytoskeletal disruption may impair axonal transport even when the axon remains anatomically continuous. Neuroinflammation, blood-brain barrier dysfunction, altered cerebral perfusion, and changes in synaptic connectivity may subsequently prolong </w:t>
      </w:r>
      <w:r w:rsidRPr="00B23B0B">
        <w:rPr>
          <w:rFonts w:cs="Times New Roman"/>
          <w:sz w:val="24"/>
          <w:szCs w:val="24"/>
          <w:highlight w:val="green"/>
        </w:rPr>
        <w:t>symptoms.</w:t>
      </w:r>
      <w:r w:rsidR="00B23B0B" w:rsidRPr="00B23B0B">
        <w:rPr>
          <w:rFonts w:cs="Times New Roman"/>
          <w:sz w:val="24"/>
          <w:szCs w:val="24"/>
          <w:highlight w:val="green"/>
        </w:rPr>
        <w:t xml:space="preserve"> [</w:t>
      </w:r>
      <w:r w:rsidRPr="00B23B0B">
        <w:rPr>
          <w:rFonts w:cs="Times New Roman"/>
          <w:sz w:val="24"/>
          <w:szCs w:val="24"/>
          <w:highlight w:val="green"/>
        </w:rPr>
        <w:t>7,8</w:t>
      </w:r>
      <w:r w:rsidR="00B23B0B" w:rsidRPr="00B23B0B">
        <w:rPr>
          <w:rFonts w:cs="Times New Roman"/>
          <w:sz w:val="24"/>
          <w:szCs w:val="24"/>
          <w:highlight w:val="green"/>
        </w:rPr>
        <w:t>]</w:t>
      </w:r>
    </w:p>
    <w:p w:rsidR="002F13EA" w:rsidRPr="00C7008C" w:rsidRDefault="008919BD">
      <w:pPr>
        <w:spacing w:after="100"/>
        <w:jc w:val="both"/>
        <w:rPr>
          <w:rFonts w:cs="Times New Roman"/>
          <w:sz w:val="24"/>
          <w:szCs w:val="24"/>
        </w:rPr>
      </w:pPr>
      <w:r w:rsidRPr="00C7008C">
        <w:rPr>
          <w:rFonts w:cs="Times New Roman"/>
          <w:sz w:val="24"/>
          <w:szCs w:val="24"/>
        </w:rPr>
        <w:t xml:space="preserve">These abnormalities are often microscopic or functional and may not be visible on conventional CT. Advanced magnetic resonance imaging (MRI) has demonstrated white-matter and network abnormalities in selected patients, but findings remain variable at the individual </w:t>
      </w:r>
      <w:r w:rsidRPr="00B23B0B">
        <w:rPr>
          <w:rFonts w:cs="Times New Roman"/>
          <w:sz w:val="24"/>
          <w:szCs w:val="24"/>
          <w:highlight w:val="green"/>
        </w:rPr>
        <w:t>level.</w:t>
      </w:r>
      <w:r w:rsidR="00B23B0B" w:rsidRPr="00B23B0B">
        <w:rPr>
          <w:rFonts w:cs="Times New Roman"/>
          <w:sz w:val="24"/>
          <w:szCs w:val="24"/>
          <w:highlight w:val="green"/>
        </w:rPr>
        <w:t xml:space="preserve"> [</w:t>
      </w:r>
      <w:r w:rsidRPr="00B23B0B">
        <w:rPr>
          <w:rFonts w:cs="Times New Roman"/>
          <w:sz w:val="24"/>
          <w:szCs w:val="24"/>
          <w:highlight w:val="green"/>
        </w:rPr>
        <w:t>8</w:t>
      </w:r>
      <w:r w:rsidR="00B23B0B" w:rsidRPr="00B23B0B">
        <w:rPr>
          <w:rFonts w:cs="Times New Roman"/>
          <w:sz w:val="24"/>
          <w:szCs w:val="24"/>
          <w:highlight w:val="green"/>
        </w:rPr>
        <w:t>]</w:t>
      </w:r>
      <w:r w:rsidRPr="00C7008C">
        <w:rPr>
          <w:rFonts w:cs="Times New Roman"/>
          <w:sz w:val="24"/>
          <w:szCs w:val="24"/>
        </w:rPr>
        <w:t xml:space="preserve"> A normal CT therefore excludes most clinically important acute structural lesions but does not exclude mTBI.</w:t>
      </w:r>
    </w:p>
    <w:p w:rsidR="002F13EA" w:rsidRPr="00B23B0B" w:rsidRDefault="008919BD">
      <w:pPr>
        <w:pStyle w:val="Heading1"/>
        <w:spacing w:before="160" w:after="60"/>
        <w:rPr>
          <w:rFonts w:ascii="Times New Roman" w:hAnsi="Times New Roman" w:cs="Times New Roman"/>
          <w:color w:val="auto"/>
          <w:sz w:val="28"/>
        </w:rPr>
      </w:pPr>
      <w:r w:rsidRPr="00B23B0B">
        <w:rPr>
          <w:rFonts w:ascii="Times New Roman" w:hAnsi="Times New Roman" w:cs="Times New Roman"/>
          <w:color w:val="auto"/>
          <w:sz w:val="28"/>
        </w:rPr>
        <w:t>Clinical assessment</w:t>
      </w:r>
    </w:p>
    <w:p w:rsidR="002F13EA" w:rsidRPr="00C7008C" w:rsidRDefault="008919BD">
      <w:pPr>
        <w:spacing w:after="100"/>
        <w:jc w:val="both"/>
        <w:rPr>
          <w:rFonts w:cs="Times New Roman"/>
          <w:sz w:val="24"/>
          <w:szCs w:val="24"/>
        </w:rPr>
      </w:pPr>
      <w:r w:rsidRPr="00C7008C">
        <w:rPr>
          <w:rFonts w:cs="Times New Roman"/>
          <w:sz w:val="24"/>
          <w:szCs w:val="24"/>
        </w:rPr>
        <w:t xml:space="preserve">Assessment begins with stabilization of airway, breathing, and circulation and prevention of secondary insults such as hypoxia and hypotension. Serial examination is essential because a single GCS score may not reflect an evolving intracranial lesion. The history should document the mechanism and timing of injury, loss of consciousness, alteration of awareness, amnesia, vomiting, </w:t>
      </w:r>
      <w:r w:rsidRPr="00C7008C">
        <w:rPr>
          <w:rFonts w:cs="Times New Roman"/>
          <w:sz w:val="24"/>
          <w:szCs w:val="24"/>
        </w:rPr>
        <w:lastRenderedPageBreak/>
        <w:t>seizure, headache progression, intoxication, previous TBI, comorbidities, and anticoagulant or antiplatelet use.</w:t>
      </w:r>
    </w:p>
    <w:p w:rsidR="002F13EA" w:rsidRPr="00C7008C" w:rsidRDefault="008919BD">
      <w:pPr>
        <w:spacing w:after="100"/>
        <w:jc w:val="both"/>
        <w:rPr>
          <w:rFonts w:cs="Times New Roman"/>
          <w:sz w:val="24"/>
          <w:szCs w:val="24"/>
        </w:rPr>
      </w:pPr>
      <w:r w:rsidRPr="00C7008C">
        <w:rPr>
          <w:rFonts w:cs="Times New Roman"/>
          <w:sz w:val="24"/>
          <w:szCs w:val="24"/>
        </w:rPr>
        <w:t xml:space="preserve">Neurological examination should include individual GCS components, pupils, cranial nerves, motor and sensory function, coordination, gait where safe, and signs of skull-base fracture. Red flags include deteriorating consciousness, focal neurological deficits, repeated vomiting, seizure, worsening headache, unequal pupils, cerebrospinal fluid rhinorrhoea or otorrhoea, and suspected open or depressed skull </w:t>
      </w:r>
      <w:r w:rsidRPr="00B23B0B">
        <w:rPr>
          <w:rFonts w:cs="Times New Roman"/>
          <w:sz w:val="24"/>
          <w:szCs w:val="24"/>
          <w:highlight w:val="green"/>
        </w:rPr>
        <w:t>fracture.</w:t>
      </w:r>
      <w:r w:rsidR="00B23B0B" w:rsidRPr="00B23B0B">
        <w:rPr>
          <w:rFonts w:cs="Times New Roman"/>
          <w:sz w:val="24"/>
          <w:szCs w:val="24"/>
          <w:highlight w:val="green"/>
        </w:rPr>
        <w:t xml:space="preserve"> [</w:t>
      </w:r>
      <w:r w:rsidRPr="00B23B0B">
        <w:rPr>
          <w:rFonts w:cs="Times New Roman"/>
          <w:sz w:val="24"/>
          <w:szCs w:val="24"/>
          <w:highlight w:val="green"/>
        </w:rPr>
        <w:t>1,6</w:t>
      </w:r>
      <w:r w:rsidR="00B23B0B" w:rsidRPr="00B23B0B">
        <w:rPr>
          <w:rFonts w:cs="Times New Roman"/>
          <w:sz w:val="24"/>
          <w:szCs w:val="24"/>
          <w:highlight w:val="green"/>
        </w:rPr>
        <w:t>]</w:t>
      </w:r>
    </w:p>
    <w:p w:rsidR="002F13EA" w:rsidRPr="00C7008C" w:rsidRDefault="008919BD">
      <w:pPr>
        <w:spacing w:after="100"/>
        <w:jc w:val="both"/>
        <w:rPr>
          <w:rFonts w:cs="Times New Roman"/>
          <w:sz w:val="24"/>
          <w:szCs w:val="24"/>
        </w:rPr>
      </w:pPr>
      <w:r w:rsidRPr="00C7008C">
        <w:rPr>
          <w:rFonts w:cs="Times New Roman"/>
          <w:sz w:val="24"/>
          <w:szCs w:val="24"/>
        </w:rPr>
        <w:t xml:space="preserve">Older adults require particular caution. Cerebral atrophy may permit substantial haemorrhage before clinical deterioration becomes evident, while frailty, polypharmacy, anticoagulation, dementia, and low-energy falls complicate </w:t>
      </w:r>
      <w:r w:rsidRPr="00A44568">
        <w:rPr>
          <w:rFonts w:cs="Times New Roman"/>
          <w:sz w:val="24"/>
          <w:szCs w:val="24"/>
          <w:highlight w:val="green"/>
        </w:rPr>
        <w:t>assessment.</w:t>
      </w:r>
      <w:r w:rsidR="00A44568" w:rsidRPr="00A44568">
        <w:rPr>
          <w:rFonts w:cs="Times New Roman"/>
          <w:sz w:val="24"/>
          <w:szCs w:val="24"/>
          <w:highlight w:val="green"/>
        </w:rPr>
        <w:t xml:space="preserve"> [</w:t>
      </w:r>
      <w:r w:rsidRPr="00A44568">
        <w:rPr>
          <w:rFonts w:cs="Times New Roman"/>
          <w:sz w:val="24"/>
          <w:szCs w:val="24"/>
          <w:highlight w:val="green"/>
        </w:rPr>
        <w:t>1</w:t>
      </w:r>
      <w:r w:rsidR="00A44568" w:rsidRPr="00A44568">
        <w:rPr>
          <w:rFonts w:cs="Times New Roman"/>
          <w:sz w:val="24"/>
          <w:szCs w:val="24"/>
          <w:highlight w:val="green"/>
        </w:rPr>
        <w:t>]</w:t>
      </w:r>
      <w:r w:rsidRPr="00C7008C">
        <w:rPr>
          <w:rFonts w:cs="Times New Roman"/>
          <w:sz w:val="24"/>
          <w:szCs w:val="24"/>
        </w:rPr>
        <w:t xml:space="preserve"> Patients with pre-existing cognitive impairment should be compared with their documented baseline rather than assumed to have injury-related confusion.</w:t>
      </w:r>
    </w:p>
    <w:p w:rsidR="002F13EA" w:rsidRPr="00FD6691" w:rsidRDefault="008919BD">
      <w:pPr>
        <w:pStyle w:val="Heading1"/>
        <w:spacing w:before="160" w:after="60"/>
        <w:rPr>
          <w:rFonts w:ascii="Times New Roman" w:hAnsi="Times New Roman" w:cs="Times New Roman"/>
          <w:color w:val="auto"/>
          <w:sz w:val="28"/>
        </w:rPr>
      </w:pPr>
      <w:r w:rsidRPr="00FD6691">
        <w:rPr>
          <w:rFonts w:ascii="Times New Roman" w:hAnsi="Times New Roman" w:cs="Times New Roman"/>
          <w:color w:val="auto"/>
          <w:sz w:val="28"/>
        </w:rPr>
        <w:t>Neuroimaging and clinical decision rules</w:t>
      </w:r>
    </w:p>
    <w:p w:rsidR="002F13EA" w:rsidRPr="00C7008C" w:rsidRDefault="008919BD">
      <w:pPr>
        <w:spacing w:after="100"/>
        <w:jc w:val="both"/>
        <w:rPr>
          <w:rFonts w:cs="Times New Roman"/>
          <w:sz w:val="24"/>
          <w:szCs w:val="24"/>
        </w:rPr>
      </w:pPr>
      <w:r w:rsidRPr="00C7008C">
        <w:rPr>
          <w:rFonts w:cs="Times New Roman"/>
          <w:sz w:val="24"/>
          <w:szCs w:val="24"/>
        </w:rPr>
        <w:t xml:space="preserve">Non-contrast head CT is the preferred acute investigation because it rapidly identifies </w:t>
      </w:r>
      <w:r w:rsidR="00D66C98" w:rsidRPr="00C7008C">
        <w:rPr>
          <w:rFonts w:cs="Times New Roman"/>
          <w:sz w:val="24"/>
          <w:szCs w:val="24"/>
        </w:rPr>
        <w:t>hemorrhage</w:t>
      </w:r>
      <w:r w:rsidRPr="00C7008C">
        <w:rPr>
          <w:rFonts w:cs="Times New Roman"/>
          <w:sz w:val="24"/>
          <w:szCs w:val="24"/>
        </w:rPr>
        <w:t>, mass effect, hydrocephalus, and fractures requiring urgent treatment. Routine CT for every patient is inappropriate because most scans are normal. Validated decision rules should be applied only to the populations for which they were developed.</w:t>
      </w:r>
    </w:p>
    <w:p w:rsidR="002F13EA" w:rsidRPr="00C7008C" w:rsidRDefault="008919BD">
      <w:pPr>
        <w:spacing w:after="100"/>
        <w:jc w:val="both"/>
        <w:rPr>
          <w:rFonts w:cs="Times New Roman"/>
          <w:sz w:val="24"/>
          <w:szCs w:val="24"/>
        </w:rPr>
      </w:pPr>
      <w:r w:rsidRPr="00C7008C">
        <w:rPr>
          <w:rFonts w:cs="Times New Roman"/>
          <w:sz w:val="24"/>
          <w:szCs w:val="24"/>
        </w:rPr>
        <w:t xml:space="preserve">The Canadian CT Head Rule was derived in 3,121 adults with GCS scores of 13-15 following loss of consciousness, amnesia, or disorientation. It identified five high-risk criteria for neurosurgical intervention and two medium-risk criteria for clinically important brain injury. The high-risk criteria were 100% sensitive for neurosurgical intervention, while the combined criteria were 98.4% sensitive for clinically important </w:t>
      </w:r>
      <w:r w:rsidRPr="00D66C98">
        <w:rPr>
          <w:rFonts w:cs="Times New Roman"/>
          <w:sz w:val="24"/>
          <w:szCs w:val="24"/>
          <w:highlight w:val="green"/>
        </w:rPr>
        <w:t>injury.</w:t>
      </w:r>
      <w:r w:rsidR="00D66C98" w:rsidRPr="00D66C98">
        <w:rPr>
          <w:rFonts w:cs="Times New Roman"/>
          <w:sz w:val="24"/>
          <w:szCs w:val="24"/>
          <w:highlight w:val="green"/>
        </w:rPr>
        <w:t xml:space="preserve"> [</w:t>
      </w:r>
      <w:r w:rsidRPr="00D66C98">
        <w:rPr>
          <w:rFonts w:cs="Times New Roman"/>
          <w:sz w:val="24"/>
          <w:szCs w:val="24"/>
          <w:highlight w:val="green"/>
        </w:rPr>
        <w:t>9</w:t>
      </w:r>
      <w:r w:rsidR="00D66C98" w:rsidRPr="00D66C98">
        <w:rPr>
          <w:rFonts w:cs="Times New Roman"/>
          <w:sz w:val="24"/>
          <w:szCs w:val="24"/>
          <w:highlight w:val="green"/>
        </w:rPr>
        <w:t>]</w:t>
      </w:r>
    </w:p>
    <w:p w:rsidR="002F13EA" w:rsidRPr="00C7008C" w:rsidRDefault="008919BD">
      <w:pPr>
        <w:spacing w:after="100"/>
        <w:jc w:val="both"/>
        <w:rPr>
          <w:rFonts w:cs="Times New Roman"/>
          <w:sz w:val="24"/>
          <w:szCs w:val="24"/>
        </w:rPr>
      </w:pPr>
      <w:r w:rsidRPr="00C7008C">
        <w:rPr>
          <w:rFonts w:cs="Times New Roman"/>
          <w:sz w:val="24"/>
          <w:szCs w:val="24"/>
        </w:rPr>
        <w:t xml:space="preserve">The New Orleans Criteria apply only to patients with a GCS score of 15. In a prospective comparison, both rules demonstrated 100% sensitivity for clinically important injury and neurosurgical intervention. However, the Canadian rule was considerably more specific and would have produced a lower </w:t>
      </w:r>
      <w:r w:rsidRPr="00D66C98">
        <w:rPr>
          <w:rFonts w:cs="Times New Roman"/>
          <w:sz w:val="24"/>
          <w:szCs w:val="24"/>
          <w:highlight w:val="green"/>
        </w:rPr>
        <w:t>CT rate.</w:t>
      </w:r>
      <w:r w:rsidR="00D66C98" w:rsidRPr="00D66C98">
        <w:rPr>
          <w:rFonts w:cs="Times New Roman"/>
          <w:sz w:val="24"/>
          <w:szCs w:val="24"/>
          <w:highlight w:val="green"/>
        </w:rPr>
        <w:t xml:space="preserve"> [</w:t>
      </w:r>
      <w:r w:rsidRPr="00D66C98">
        <w:rPr>
          <w:rFonts w:cs="Times New Roman"/>
          <w:sz w:val="24"/>
          <w:szCs w:val="24"/>
          <w:highlight w:val="green"/>
        </w:rPr>
        <w:t>10</w:t>
      </w:r>
      <w:r w:rsidR="00D66C98" w:rsidRPr="00D66C98">
        <w:rPr>
          <w:rFonts w:cs="Times New Roman"/>
          <w:sz w:val="24"/>
          <w:szCs w:val="24"/>
          <w:highlight w:val="green"/>
        </w:rPr>
        <w:t>]</w:t>
      </w:r>
      <w:r w:rsidR="000F5DA5">
        <w:rPr>
          <w:rFonts w:cs="Times New Roman"/>
          <w:sz w:val="24"/>
          <w:szCs w:val="24"/>
        </w:rPr>
        <w:t xml:space="preserve"> (Table 1)</w:t>
      </w:r>
    </w:p>
    <w:p w:rsidR="002F13EA" w:rsidRPr="00C7008C" w:rsidRDefault="008919BD">
      <w:pPr>
        <w:jc w:val="center"/>
        <w:rPr>
          <w:rFonts w:cs="Times New Roman"/>
          <w:sz w:val="24"/>
          <w:szCs w:val="24"/>
        </w:rPr>
      </w:pPr>
      <w:r w:rsidRPr="00C7008C">
        <w:rPr>
          <w:rFonts w:cs="Times New Roman"/>
          <w:b/>
          <w:sz w:val="24"/>
          <w:szCs w:val="24"/>
        </w:rPr>
        <w:t>Table 1. Comparison of the Canadian CT Head Rule and New Orleans Criteria</w:t>
      </w:r>
    </w:p>
    <w:tbl>
      <w:tblPr>
        <w:tblStyle w:val="TableGrid"/>
        <w:tblW w:w="0" w:type="auto"/>
        <w:jc w:val="center"/>
        <w:tblLook w:val="04A0"/>
      </w:tblPr>
      <w:tblGrid>
        <w:gridCol w:w="3216"/>
        <w:gridCol w:w="3216"/>
        <w:gridCol w:w="3216"/>
      </w:tblGrid>
      <w:tr w:rsidR="002F13EA" w:rsidRPr="00C7008C">
        <w:trPr>
          <w:tblHeader/>
          <w:jc w:val="center"/>
        </w:trPr>
        <w:tc>
          <w:tcPr>
            <w:tcW w:w="3216" w:type="dxa"/>
            <w:vAlign w:val="center"/>
          </w:tcPr>
          <w:p w:rsidR="002F13EA" w:rsidRPr="00C7008C" w:rsidRDefault="008919BD">
            <w:pPr>
              <w:rPr>
                <w:rFonts w:cs="Times New Roman"/>
                <w:sz w:val="24"/>
                <w:szCs w:val="24"/>
              </w:rPr>
            </w:pPr>
            <w:r w:rsidRPr="00C7008C">
              <w:rPr>
                <w:rFonts w:cs="Times New Roman"/>
                <w:b/>
                <w:sz w:val="24"/>
                <w:szCs w:val="24"/>
              </w:rPr>
              <w:t>Feature</w:t>
            </w:r>
          </w:p>
        </w:tc>
        <w:tc>
          <w:tcPr>
            <w:tcW w:w="3216" w:type="dxa"/>
            <w:vAlign w:val="center"/>
          </w:tcPr>
          <w:p w:rsidR="002F13EA" w:rsidRPr="00C7008C" w:rsidRDefault="008919BD">
            <w:pPr>
              <w:rPr>
                <w:rFonts w:cs="Times New Roman"/>
                <w:sz w:val="24"/>
                <w:szCs w:val="24"/>
              </w:rPr>
            </w:pPr>
            <w:r w:rsidRPr="00C7008C">
              <w:rPr>
                <w:rFonts w:cs="Times New Roman"/>
                <w:b/>
                <w:sz w:val="24"/>
                <w:szCs w:val="24"/>
              </w:rPr>
              <w:t>Canadian CT Head Rule</w:t>
            </w:r>
          </w:p>
        </w:tc>
        <w:tc>
          <w:tcPr>
            <w:tcW w:w="3216" w:type="dxa"/>
            <w:vAlign w:val="center"/>
          </w:tcPr>
          <w:p w:rsidR="002F13EA" w:rsidRPr="00C7008C" w:rsidRDefault="008919BD">
            <w:pPr>
              <w:rPr>
                <w:rFonts w:cs="Times New Roman"/>
                <w:sz w:val="24"/>
                <w:szCs w:val="24"/>
              </w:rPr>
            </w:pPr>
            <w:r w:rsidRPr="00C7008C">
              <w:rPr>
                <w:rFonts w:cs="Times New Roman"/>
                <w:b/>
                <w:sz w:val="24"/>
                <w:szCs w:val="24"/>
              </w:rPr>
              <w:t>New Orleans Criteria</w:t>
            </w:r>
          </w:p>
        </w:tc>
      </w:tr>
      <w:tr w:rsidR="002F13EA" w:rsidRPr="00C7008C">
        <w:trPr>
          <w:jc w:val="center"/>
        </w:trPr>
        <w:tc>
          <w:tcPr>
            <w:tcW w:w="3216" w:type="dxa"/>
            <w:vAlign w:val="center"/>
          </w:tcPr>
          <w:p w:rsidR="002F13EA" w:rsidRPr="00C7008C" w:rsidRDefault="008919BD">
            <w:pPr>
              <w:rPr>
                <w:rFonts w:cs="Times New Roman"/>
                <w:sz w:val="24"/>
                <w:szCs w:val="24"/>
              </w:rPr>
            </w:pPr>
            <w:r w:rsidRPr="00C7008C">
              <w:rPr>
                <w:rFonts w:cs="Times New Roman"/>
                <w:sz w:val="24"/>
                <w:szCs w:val="24"/>
              </w:rPr>
              <w:t>Intended population</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Adults &gt;=16 years; GCS 13-15 after witnessed loss of consciousness, amnesia, or disorientation</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Adults with GCS 15 after minor head injury</w:t>
            </w:r>
          </w:p>
        </w:tc>
      </w:tr>
      <w:tr w:rsidR="002F13EA" w:rsidRPr="00C7008C">
        <w:trPr>
          <w:jc w:val="center"/>
        </w:trPr>
        <w:tc>
          <w:tcPr>
            <w:tcW w:w="3216" w:type="dxa"/>
            <w:vAlign w:val="center"/>
          </w:tcPr>
          <w:p w:rsidR="002F13EA" w:rsidRPr="00C7008C" w:rsidRDefault="008919BD">
            <w:pPr>
              <w:rPr>
                <w:rFonts w:cs="Times New Roman"/>
                <w:sz w:val="24"/>
                <w:szCs w:val="24"/>
              </w:rPr>
            </w:pPr>
            <w:r w:rsidRPr="00C7008C">
              <w:rPr>
                <w:rFonts w:cs="Times New Roman"/>
                <w:sz w:val="24"/>
                <w:szCs w:val="24"/>
              </w:rPr>
              <w:t>CT indications</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GCS &lt;15 at 2 hours; suspected open/depressed fracture; basal skull-fracture signs; &gt;=2 vomiting episodes; age &gt;=65 years; retrograde amnesia &gt;=30 minutes; dangerous mechanism</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Headache; vomiting; age &gt;60 years; intoxication; short-term memory deficit; trauma above clavicles; seizure</w:t>
            </w:r>
          </w:p>
        </w:tc>
      </w:tr>
      <w:tr w:rsidR="002F13EA" w:rsidRPr="00C7008C">
        <w:trPr>
          <w:jc w:val="center"/>
        </w:trPr>
        <w:tc>
          <w:tcPr>
            <w:tcW w:w="3216" w:type="dxa"/>
            <w:vAlign w:val="center"/>
          </w:tcPr>
          <w:p w:rsidR="002F13EA" w:rsidRPr="00C7008C" w:rsidRDefault="008919BD">
            <w:pPr>
              <w:rPr>
                <w:rFonts w:cs="Times New Roman"/>
                <w:sz w:val="24"/>
                <w:szCs w:val="24"/>
              </w:rPr>
            </w:pPr>
            <w:r w:rsidRPr="00C7008C">
              <w:rPr>
                <w:rFonts w:cs="Times New Roman"/>
                <w:sz w:val="24"/>
                <w:szCs w:val="24"/>
              </w:rPr>
              <w:t>Important exclusions</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 xml:space="preserve">Age &lt;16 years, GCS &lt;13, anticoagulation/bleeding disorder, penetrating or </w:t>
            </w:r>
            <w:r w:rsidRPr="00C7008C">
              <w:rPr>
                <w:rFonts w:cs="Times New Roman"/>
                <w:sz w:val="24"/>
                <w:szCs w:val="24"/>
              </w:rPr>
              <w:lastRenderedPageBreak/>
              <w:t>obvious open fracture</w:t>
            </w:r>
          </w:p>
        </w:tc>
        <w:tc>
          <w:tcPr>
            <w:tcW w:w="3216" w:type="dxa"/>
            <w:vAlign w:val="center"/>
          </w:tcPr>
          <w:p w:rsidR="002F13EA" w:rsidRPr="00C7008C" w:rsidRDefault="008919BD">
            <w:pPr>
              <w:rPr>
                <w:rFonts w:cs="Times New Roman"/>
                <w:sz w:val="24"/>
                <w:szCs w:val="24"/>
              </w:rPr>
            </w:pPr>
            <w:r w:rsidRPr="00C7008C">
              <w:rPr>
                <w:rFonts w:cs="Times New Roman"/>
                <w:sz w:val="24"/>
                <w:szCs w:val="24"/>
              </w:rPr>
              <w:lastRenderedPageBreak/>
              <w:t>Not designed for GCS 13-14</w:t>
            </w:r>
          </w:p>
        </w:tc>
      </w:tr>
      <w:tr w:rsidR="002F13EA" w:rsidRPr="00C7008C">
        <w:trPr>
          <w:jc w:val="center"/>
        </w:trPr>
        <w:tc>
          <w:tcPr>
            <w:tcW w:w="3216" w:type="dxa"/>
            <w:vAlign w:val="center"/>
          </w:tcPr>
          <w:p w:rsidR="002F13EA" w:rsidRPr="00C7008C" w:rsidRDefault="008919BD">
            <w:pPr>
              <w:rPr>
                <w:rFonts w:cs="Times New Roman"/>
                <w:sz w:val="24"/>
                <w:szCs w:val="24"/>
              </w:rPr>
            </w:pPr>
            <w:r w:rsidRPr="00C7008C">
              <w:rPr>
                <w:rFonts w:cs="Times New Roman"/>
                <w:sz w:val="24"/>
                <w:szCs w:val="24"/>
              </w:rPr>
              <w:lastRenderedPageBreak/>
              <w:t>Sensitivity for neurosurgical intervention</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100%</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100%</w:t>
            </w:r>
          </w:p>
        </w:tc>
      </w:tr>
      <w:tr w:rsidR="002F13EA" w:rsidRPr="00C7008C">
        <w:trPr>
          <w:jc w:val="center"/>
        </w:trPr>
        <w:tc>
          <w:tcPr>
            <w:tcW w:w="3216" w:type="dxa"/>
            <w:vAlign w:val="center"/>
          </w:tcPr>
          <w:p w:rsidR="002F13EA" w:rsidRPr="00C7008C" w:rsidRDefault="008919BD">
            <w:pPr>
              <w:rPr>
                <w:rFonts w:cs="Times New Roman"/>
                <w:sz w:val="24"/>
                <w:szCs w:val="24"/>
              </w:rPr>
            </w:pPr>
            <w:r w:rsidRPr="00C7008C">
              <w:rPr>
                <w:rFonts w:cs="Times New Roman"/>
                <w:sz w:val="24"/>
                <w:szCs w:val="24"/>
              </w:rPr>
              <w:t>Specificity for neurosurgical intervention</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76.3%</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12.1%</w:t>
            </w:r>
          </w:p>
        </w:tc>
      </w:tr>
      <w:tr w:rsidR="002F13EA" w:rsidRPr="00C7008C">
        <w:trPr>
          <w:jc w:val="center"/>
        </w:trPr>
        <w:tc>
          <w:tcPr>
            <w:tcW w:w="3216" w:type="dxa"/>
            <w:vAlign w:val="center"/>
          </w:tcPr>
          <w:p w:rsidR="002F13EA" w:rsidRPr="00C7008C" w:rsidRDefault="008919BD">
            <w:pPr>
              <w:rPr>
                <w:rFonts w:cs="Times New Roman"/>
                <w:sz w:val="24"/>
                <w:szCs w:val="24"/>
              </w:rPr>
            </w:pPr>
            <w:r w:rsidRPr="00C7008C">
              <w:rPr>
                <w:rFonts w:cs="Times New Roman"/>
                <w:sz w:val="24"/>
                <w:szCs w:val="24"/>
              </w:rPr>
              <w:t>Sensitivity for clinically important brain injury</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100%</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100%</w:t>
            </w:r>
          </w:p>
        </w:tc>
      </w:tr>
      <w:tr w:rsidR="002F13EA" w:rsidRPr="00C7008C">
        <w:trPr>
          <w:jc w:val="center"/>
        </w:trPr>
        <w:tc>
          <w:tcPr>
            <w:tcW w:w="3216" w:type="dxa"/>
            <w:vAlign w:val="center"/>
          </w:tcPr>
          <w:p w:rsidR="002F13EA" w:rsidRPr="00C7008C" w:rsidRDefault="008919BD">
            <w:pPr>
              <w:rPr>
                <w:rFonts w:cs="Times New Roman"/>
                <w:sz w:val="24"/>
                <w:szCs w:val="24"/>
              </w:rPr>
            </w:pPr>
            <w:r w:rsidRPr="00C7008C">
              <w:rPr>
                <w:rFonts w:cs="Times New Roman"/>
                <w:sz w:val="24"/>
                <w:szCs w:val="24"/>
              </w:rPr>
              <w:t>Specificity for clinically important brain injury</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50.6%</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12.7%</w:t>
            </w:r>
          </w:p>
        </w:tc>
      </w:tr>
      <w:tr w:rsidR="002F13EA" w:rsidRPr="00C7008C">
        <w:trPr>
          <w:jc w:val="center"/>
        </w:trPr>
        <w:tc>
          <w:tcPr>
            <w:tcW w:w="3216" w:type="dxa"/>
            <w:vAlign w:val="center"/>
          </w:tcPr>
          <w:p w:rsidR="002F13EA" w:rsidRPr="00C7008C" w:rsidRDefault="008919BD">
            <w:pPr>
              <w:rPr>
                <w:rFonts w:cs="Times New Roman"/>
                <w:sz w:val="24"/>
                <w:szCs w:val="24"/>
              </w:rPr>
            </w:pPr>
            <w:r w:rsidRPr="00C7008C">
              <w:rPr>
                <w:rFonts w:cs="Times New Roman"/>
                <w:sz w:val="24"/>
                <w:szCs w:val="24"/>
              </w:rPr>
              <w:t>Practical implication</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Preferred when applicable because it reduces unnecessary CT</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Highly sensitive but substantially increases imaging</w:t>
            </w:r>
          </w:p>
        </w:tc>
      </w:tr>
    </w:tbl>
    <w:p w:rsidR="002F13EA" w:rsidRPr="00C7008C" w:rsidRDefault="008919BD">
      <w:pPr>
        <w:spacing w:after="100"/>
        <w:jc w:val="both"/>
        <w:rPr>
          <w:rFonts w:cs="Times New Roman"/>
          <w:sz w:val="24"/>
          <w:szCs w:val="24"/>
        </w:rPr>
      </w:pPr>
      <w:r w:rsidRPr="00C7008C">
        <w:rPr>
          <w:rFonts w:cs="Times New Roman"/>
          <w:sz w:val="24"/>
          <w:szCs w:val="24"/>
        </w:rPr>
        <w:t xml:space="preserve">Data derived from </w:t>
      </w:r>
      <w:r w:rsidRPr="00D66C98">
        <w:rPr>
          <w:rFonts w:cs="Times New Roman"/>
          <w:sz w:val="24"/>
          <w:szCs w:val="24"/>
          <w:highlight w:val="green"/>
        </w:rPr>
        <w:t>Stiell et al.</w:t>
      </w:r>
      <w:r w:rsidR="00D66C98" w:rsidRPr="00D66C98">
        <w:rPr>
          <w:rFonts w:cs="Times New Roman"/>
          <w:sz w:val="24"/>
          <w:szCs w:val="24"/>
          <w:highlight w:val="green"/>
        </w:rPr>
        <w:t xml:space="preserve"> [</w:t>
      </w:r>
      <w:r w:rsidRPr="00D66C98">
        <w:rPr>
          <w:rFonts w:cs="Times New Roman"/>
          <w:sz w:val="24"/>
          <w:szCs w:val="24"/>
          <w:highlight w:val="green"/>
        </w:rPr>
        <w:t>9,10</w:t>
      </w:r>
      <w:r w:rsidR="00D66C98" w:rsidRPr="00D66C98">
        <w:rPr>
          <w:rFonts w:cs="Times New Roman"/>
          <w:sz w:val="24"/>
          <w:szCs w:val="24"/>
          <w:highlight w:val="green"/>
        </w:rPr>
        <w:t>]</w:t>
      </w:r>
    </w:p>
    <w:p w:rsidR="00F57AA6" w:rsidRDefault="00F57AA6">
      <w:pPr>
        <w:pStyle w:val="Heading1"/>
        <w:spacing w:before="160" w:after="60"/>
        <w:rPr>
          <w:rFonts w:ascii="Times New Roman" w:hAnsi="Times New Roman" w:cs="Times New Roman"/>
          <w:color w:val="auto"/>
          <w:sz w:val="24"/>
          <w:szCs w:val="24"/>
        </w:rPr>
      </w:pPr>
    </w:p>
    <w:p w:rsidR="002F13EA" w:rsidRPr="00F57AA6" w:rsidRDefault="008919BD">
      <w:pPr>
        <w:pStyle w:val="Heading1"/>
        <w:spacing w:before="160" w:after="60"/>
        <w:rPr>
          <w:rFonts w:ascii="Times New Roman" w:hAnsi="Times New Roman" w:cs="Times New Roman"/>
          <w:color w:val="auto"/>
          <w:sz w:val="28"/>
        </w:rPr>
      </w:pPr>
      <w:r w:rsidRPr="00F57AA6">
        <w:rPr>
          <w:rFonts w:ascii="Times New Roman" w:hAnsi="Times New Roman" w:cs="Times New Roman"/>
          <w:color w:val="auto"/>
          <w:sz w:val="28"/>
        </w:rPr>
        <w:t>Magnetic resonance imaging</w:t>
      </w:r>
    </w:p>
    <w:p w:rsidR="002F13EA" w:rsidRPr="00C7008C" w:rsidRDefault="008919BD">
      <w:pPr>
        <w:spacing w:after="100"/>
        <w:jc w:val="both"/>
        <w:rPr>
          <w:rFonts w:cs="Times New Roman"/>
          <w:sz w:val="24"/>
          <w:szCs w:val="24"/>
        </w:rPr>
      </w:pPr>
      <w:r w:rsidRPr="00C7008C">
        <w:rPr>
          <w:rFonts w:cs="Times New Roman"/>
          <w:sz w:val="24"/>
          <w:szCs w:val="24"/>
        </w:rPr>
        <w:t xml:space="preserve">MRI is not recommended as the routine initial investigation. It may be considered when persistent or unexplained neurological deficits are discordant with CT findings, or when alternative pathology is suspected. Advanced sequences such as susceptibility-weighted imaging and diffusion tensor imaging may reveal </w:t>
      </w:r>
      <w:r w:rsidR="00F57AA6" w:rsidRPr="00C7008C">
        <w:rPr>
          <w:rFonts w:cs="Times New Roman"/>
          <w:sz w:val="24"/>
          <w:szCs w:val="24"/>
        </w:rPr>
        <w:t>microhemorrhage</w:t>
      </w:r>
      <w:r w:rsidRPr="00C7008C">
        <w:rPr>
          <w:rFonts w:cs="Times New Roman"/>
          <w:sz w:val="24"/>
          <w:szCs w:val="24"/>
        </w:rPr>
        <w:t xml:space="preserve"> or white-matter abnormalities, but their routine diagnostic and prognostic roles remain </w:t>
      </w:r>
      <w:r w:rsidRPr="00F57AA6">
        <w:rPr>
          <w:rFonts w:cs="Times New Roman"/>
          <w:sz w:val="24"/>
          <w:szCs w:val="24"/>
          <w:highlight w:val="green"/>
        </w:rPr>
        <w:t>unestablished.</w:t>
      </w:r>
      <w:r w:rsidR="00F57AA6" w:rsidRPr="00F57AA6">
        <w:rPr>
          <w:rFonts w:cs="Times New Roman"/>
          <w:sz w:val="24"/>
          <w:szCs w:val="24"/>
          <w:highlight w:val="green"/>
        </w:rPr>
        <w:t xml:space="preserve"> [</w:t>
      </w:r>
      <w:r w:rsidRPr="00F57AA6">
        <w:rPr>
          <w:rFonts w:cs="Times New Roman"/>
          <w:sz w:val="24"/>
          <w:szCs w:val="24"/>
          <w:highlight w:val="green"/>
        </w:rPr>
        <w:t>8</w:t>
      </w:r>
      <w:r w:rsidR="00F57AA6" w:rsidRPr="00F57AA6">
        <w:rPr>
          <w:rFonts w:cs="Times New Roman"/>
          <w:sz w:val="24"/>
          <w:szCs w:val="24"/>
          <w:highlight w:val="green"/>
        </w:rPr>
        <w:t>]</w:t>
      </w:r>
    </w:p>
    <w:p w:rsidR="002F13EA" w:rsidRPr="00F57AA6" w:rsidRDefault="008919BD">
      <w:pPr>
        <w:pStyle w:val="Heading1"/>
        <w:spacing w:before="160" w:after="60"/>
        <w:rPr>
          <w:rFonts w:ascii="Times New Roman" w:hAnsi="Times New Roman" w:cs="Times New Roman"/>
          <w:color w:val="auto"/>
          <w:sz w:val="28"/>
        </w:rPr>
      </w:pPr>
      <w:r w:rsidRPr="00F57AA6">
        <w:rPr>
          <w:rFonts w:ascii="Times New Roman" w:hAnsi="Times New Roman" w:cs="Times New Roman"/>
          <w:color w:val="auto"/>
          <w:sz w:val="28"/>
        </w:rPr>
        <w:t>Observation, admission, and discharge</w:t>
      </w:r>
    </w:p>
    <w:p w:rsidR="002F13EA" w:rsidRPr="00C7008C" w:rsidRDefault="008919BD">
      <w:pPr>
        <w:spacing w:after="100"/>
        <w:jc w:val="both"/>
        <w:rPr>
          <w:rFonts w:cs="Times New Roman"/>
          <w:sz w:val="24"/>
          <w:szCs w:val="24"/>
        </w:rPr>
      </w:pPr>
      <w:r w:rsidRPr="00C7008C">
        <w:rPr>
          <w:rFonts w:cs="Times New Roman"/>
          <w:sz w:val="24"/>
          <w:szCs w:val="24"/>
        </w:rPr>
        <w:t>Patients should be admitted or observed when they have abnormal imaging, persistent GCS below baseline, neurological deterioration, focal deficits, seizures, significant skull fracture, uncontrolled symptoms, major associated injuries, intoxication preventing reliable assessment, or inadequate home supervision. Neurosurgical consultation is indicated for clinically significant intracranial lesions or deterioration.</w:t>
      </w:r>
    </w:p>
    <w:p w:rsidR="002F13EA" w:rsidRPr="00C7008C" w:rsidRDefault="008919BD">
      <w:pPr>
        <w:spacing w:after="100"/>
        <w:jc w:val="both"/>
        <w:rPr>
          <w:rFonts w:cs="Times New Roman"/>
          <w:sz w:val="24"/>
          <w:szCs w:val="24"/>
        </w:rPr>
      </w:pPr>
      <w:r w:rsidRPr="00C7008C">
        <w:rPr>
          <w:rFonts w:cs="Times New Roman"/>
          <w:sz w:val="24"/>
          <w:szCs w:val="24"/>
        </w:rPr>
        <w:t xml:space="preserve">Patients with a normal neurological examination and normal CT, when CT is indicated, may generally be discharged if responsible supervision and access to emergency reassessment are available. The 2023 NICE evidence review found no eligible comparative clinical studies directly establishing whether admission is superior to discharge in GCS-15 patients with concussion symptoms after normal imaging or when imaging is not </w:t>
      </w:r>
      <w:r w:rsidRPr="00A144BB">
        <w:rPr>
          <w:rFonts w:cs="Times New Roman"/>
          <w:sz w:val="24"/>
          <w:szCs w:val="24"/>
          <w:highlight w:val="green"/>
        </w:rPr>
        <w:t>indicated.</w:t>
      </w:r>
      <w:r w:rsidR="00A144BB" w:rsidRPr="00A144BB">
        <w:rPr>
          <w:rFonts w:cs="Times New Roman"/>
          <w:sz w:val="24"/>
          <w:szCs w:val="24"/>
          <w:highlight w:val="green"/>
        </w:rPr>
        <w:t xml:space="preserve"> [</w:t>
      </w:r>
      <w:r w:rsidRPr="00A144BB">
        <w:rPr>
          <w:rFonts w:cs="Times New Roman"/>
          <w:sz w:val="24"/>
          <w:szCs w:val="24"/>
          <w:highlight w:val="green"/>
        </w:rPr>
        <w:t>11</w:t>
      </w:r>
      <w:r w:rsidR="00A144BB" w:rsidRPr="00A144BB">
        <w:rPr>
          <w:rFonts w:cs="Times New Roman"/>
          <w:sz w:val="24"/>
          <w:szCs w:val="24"/>
          <w:highlight w:val="green"/>
        </w:rPr>
        <w:t>]</w:t>
      </w:r>
      <w:r w:rsidRPr="00C7008C">
        <w:rPr>
          <w:rFonts w:cs="Times New Roman"/>
          <w:sz w:val="24"/>
          <w:szCs w:val="24"/>
        </w:rPr>
        <w:t xml:space="preserve"> Decisions must therefore incorporate clinical judgement, symptoms, comorbidities, social circumstances, and reliability of observation.</w:t>
      </w:r>
    </w:p>
    <w:p w:rsidR="002F13EA" w:rsidRPr="00C7008C" w:rsidRDefault="008919BD">
      <w:pPr>
        <w:spacing w:after="100"/>
        <w:jc w:val="both"/>
        <w:rPr>
          <w:rFonts w:cs="Times New Roman"/>
          <w:sz w:val="24"/>
          <w:szCs w:val="24"/>
        </w:rPr>
      </w:pPr>
      <w:r w:rsidRPr="00C7008C">
        <w:rPr>
          <w:rFonts w:cs="Times New Roman"/>
          <w:sz w:val="24"/>
          <w:szCs w:val="24"/>
        </w:rPr>
        <w:t>Routine repeat CT is not justified in neurologically stable patients solely because the initial injury was labelled mTBI. Repeat imaging should be driven by deterioration or selected high-risk circumstances.</w:t>
      </w:r>
      <w:r w:rsidR="000F5DA5">
        <w:rPr>
          <w:rFonts w:cs="Times New Roman"/>
          <w:sz w:val="24"/>
          <w:szCs w:val="24"/>
        </w:rPr>
        <w:t xml:space="preserve"> (Table 2)</w:t>
      </w:r>
    </w:p>
    <w:p w:rsidR="002F13EA" w:rsidRPr="00C7008C" w:rsidRDefault="008919BD">
      <w:pPr>
        <w:jc w:val="center"/>
        <w:rPr>
          <w:rFonts w:cs="Times New Roman"/>
          <w:sz w:val="24"/>
          <w:szCs w:val="24"/>
        </w:rPr>
      </w:pPr>
      <w:r w:rsidRPr="00C7008C">
        <w:rPr>
          <w:rFonts w:cs="Times New Roman"/>
          <w:b/>
          <w:sz w:val="24"/>
          <w:szCs w:val="24"/>
        </w:rPr>
        <w:t>Table 2. Suggested risk-stratified disposition following adult mTBI</w:t>
      </w:r>
    </w:p>
    <w:tbl>
      <w:tblPr>
        <w:tblStyle w:val="TableGrid"/>
        <w:tblW w:w="0" w:type="auto"/>
        <w:jc w:val="center"/>
        <w:tblLook w:val="04A0"/>
      </w:tblPr>
      <w:tblGrid>
        <w:gridCol w:w="3216"/>
        <w:gridCol w:w="3216"/>
        <w:gridCol w:w="3216"/>
      </w:tblGrid>
      <w:tr w:rsidR="002F13EA" w:rsidRPr="00C7008C">
        <w:trPr>
          <w:tblHeader/>
          <w:jc w:val="center"/>
        </w:trPr>
        <w:tc>
          <w:tcPr>
            <w:tcW w:w="3216" w:type="dxa"/>
            <w:vAlign w:val="center"/>
          </w:tcPr>
          <w:p w:rsidR="002F13EA" w:rsidRPr="00C7008C" w:rsidRDefault="008919BD">
            <w:pPr>
              <w:rPr>
                <w:rFonts w:cs="Times New Roman"/>
                <w:sz w:val="24"/>
                <w:szCs w:val="24"/>
              </w:rPr>
            </w:pPr>
            <w:r w:rsidRPr="00C7008C">
              <w:rPr>
                <w:rFonts w:cs="Times New Roman"/>
                <w:b/>
                <w:sz w:val="24"/>
                <w:szCs w:val="24"/>
              </w:rPr>
              <w:t>Clinical category</w:t>
            </w:r>
          </w:p>
        </w:tc>
        <w:tc>
          <w:tcPr>
            <w:tcW w:w="3216" w:type="dxa"/>
            <w:vAlign w:val="center"/>
          </w:tcPr>
          <w:p w:rsidR="002F13EA" w:rsidRPr="00C7008C" w:rsidRDefault="008919BD">
            <w:pPr>
              <w:rPr>
                <w:rFonts w:cs="Times New Roman"/>
                <w:sz w:val="24"/>
                <w:szCs w:val="24"/>
              </w:rPr>
            </w:pPr>
            <w:r w:rsidRPr="00C7008C">
              <w:rPr>
                <w:rFonts w:cs="Times New Roman"/>
                <w:b/>
                <w:sz w:val="24"/>
                <w:szCs w:val="24"/>
              </w:rPr>
              <w:t>Suggested disposition</w:t>
            </w:r>
          </w:p>
        </w:tc>
        <w:tc>
          <w:tcPr>
            <w:tcW w:w="3216" w:type="dxa"/>
            <w:vAlign w:val="center"/>
          </w:tcPr>
          <w:p w:rsidR="002F13EA" w:rsidRPr="00C7008C" w:rsidRDefault="008919BD">
            <w:pPr>
              <w:rPr>
                <w:rFonts w:cs="Times New Roman"/>
                <w:sz w:val="24"/>
                <w:szCs w:val="24"/>
              </w:rPr>
            </w:pPr>
            <w:r w:rsidRPr="00C7008C">
              <w:rPr>
                <w:rFonts w:cs="Times New Roman"/>
                <w:b/>
                <w:sz w:val="24"/>
                <w:szCs w:val="24"/>
              </w:rPr>
              <w:t>Key actions</w:t>
            </w:r>
          </w:p>
        </w:tc>
      </w:tr>
      <w:tr w:rsidR="002F13EA" w:rsidRPr="00C7008C">
        <w:trPr>
          <w:jc w:val="center"/>
        </w:trPr>
        <w:tc>
          <w:tcPr>
            <w:tcW w:w="3216" w:type="dxa"/>
            <w:vAlign w:val="center"/>
          </w:tcPr>
          <w:p w:rsidR="002F13EA" w:rsidRPr="00C7008C" w:rsidRDefault="008919BD">
            <w:pPr>
              <w:rPr>
                <w:rFonts w:cs="Times New Roman"/>
                <w:sz w:val="24"/>
                <w:szCs w:val="24"/>
              </w:rPr>
            </w:pPr>
            <w:r w:rsidRPr="00C7008C">
              <w:rPr>
                <w:rFonts w:cs="Times New Roman"/>
                <w:sz w:val="24"/>
                <w:szCs w:val="24"/>
              </w:rPr>
              <w:t xml:space="preserve">Abnormal CT with clinically </w:t>
            </w:r>
            <w:r w:rsidRPr="00C7008C">
              <w:rPr>
                <w:rFonts w:cs="Times New Roman"/>
                <w:sz w:val="24"/>
                <w:szCs w:val="24"/>
              </w:rPr>
              <w:lastRenderedPageBreak/>
              <w:t>significant lesion</w:t>
            </w:r>
          </w:p>
        </w:tc>
        <w:tc>
          <w:tcPr>
            <w:tcW w:w="3216" w:type="dxa"/>
            <w:vAlign w:val="center"/>
          </w:tcPr>
          <w:p w:rsidR="002F13EA" w:rsidRPr="00C7008C" w:rsidRDefault="008919BD">
            <w:pPr>
              <w:rPr>
                <w:rFonts w:cs="Times New Roman"/>
                <w:sz w:val="24"/>
                <w:szCs w:val="24"/>
              </w:rPr>
            </w:pPr>
            <w:r w:rsidRPr="00C7008C">
              <w:rPr>
                <w:rFonts w:cs="Times New Roman"/>
                <w:sz w:val="24"/>
                <w:szCs w:val="24"/>
              </w:rPr>
              <w:lastRenderedPageBreak/>
              <w:t xml:space="preserve">Admission and neurosurgical </w:t>
            </w:r>
            <w:r w:rsidRPr="00C7008C">
              <w:rPr>
                <w:rFonts w:cs="Times New Roman"/>
                <w:sz w:val="24"/>
                <w:szCs w:val="24"/>
              </w:rPr>
              <w:lastRenderedPageBreak/>
              <w:t>assessment</w:t>
            </w:r>
          </w:p>
        </w:tc>
        <w:tc>
          <w:tcPr>
            <w:tcW w:w="3216" w:type="dxa"/>
            <w:vAlign w:val="center"/>
          </w:tcPr>
          <w:p w:rsidR="002F13EA" w:rsidRPr="00C7008C" w:rsidRDefault="008919BD">
            <w:pPr>
              <w:rPr>
                <w:rFonts w:cs="Times New Roman"/>
                <w:sz w:val="24"/>
                <w:szCs w:val="24"/>
              </w:rPr>
            </w:pPr>
            <w:r w:rsidRPr="00C7008C">
              <w:rPr>
                <w:rFonts w:cs="Times New Roman"/>
                <w:sz w:val="24"/>
                <w:szCs w:val="24"/>
              </w:rPr>
              <w:lastRenderedPageBreak/>
              <w:t xml:space="preserve">Serial neurological </w:t>
            </w:r>
            <w:r w:rsidRPr="00C7008C">
              <w:rPr>
                <w:rFonts w:cs="Times New Roman"/>
                <w:sz w:val="24"/>
                <w:szCs w:val="24"/>
              </w:rPr>
              <w:lastRenderedPageBreak/>
              <w:t>examination; lesion-specific treatment; repeat imaging when clinically indicated</w:t>
            </w:r>
          </w:p>
        </w:tc>
      </w:tr>
      <w:tr w:rsidR="002F13EA" w:rsidRPr="00C7008C">
        <w:trPr>
          <w:jc w:val="center"/>
        </w:trPr>
        <w:tc>
          <w:tcPr>
            <w:tcW w:w="3216" w:type="dxa"/>
            <w:vAlign w:val="center"/>
          </w:tcPr>
          <w:p w:rsidR="002F13EA" w:rsidRPr="00C7008C" w:rsidRDefault="008919BD">
            <w:pPr>
              <w:rPr>
                <w:rFonts w:cs="Times New Roman"/>
                <w:sz w:val="24"/>
                <w:szCs w:val="24"/>
              </w:rPr>
            </w:pPr>
            <w:r w:rsidRPr="00C7008C">
              <w:rPr>
                <w:rFonts w:cs="Times New Roman"/>
                <w:sz w:val="24"/>
                <w:szCs w:val="24"/>
              </w:rPr>
              <w:lastRenderedPageBreak/>
              <w:t>Neurological deterioration, seizure, focal deficit, persistent GCS &lt;15</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Urgent reassessment and admission</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Immediate CT or repeat CT; investigate alternative or associated causes</w:t>
            </w:r>
          </w:p>
        </w:tc>
      </w:tr>
      <w:tr w:rsidR="002F13EA" w:rsidRPr="00C7008C">
        <w:trPr>
          <w:jc w:val="center"/>
        </w:trPr>
        <w:tc>
          <w:tcPr>
            <w:tcW w:w="3216" w:type="dxa"/>
            <w:vAlign w:val="center"/>
          </w:tcPr>
          <w:p w:rsidR="002F13EA" w:rsidRPr="00C7008C" w:rsidRDefault="008919BD">
            <w:pPr>
              <w:rPr>
                <w:rFonts w:cs="Times New Roman"/>
                <w:sz w:val="24"/>
                <w:szCs w:val="24"/>
              </w:rPr>
            </w:pPr>
            <w:r w:rsidRPr="00C7008C">
              <w:rPr>
                <w:rFonts w:cs="Times New Roman"/>
                <w:sz w:val="24"/>
                <w:szCs w:val="24"/>
              </w:rPr>
              <w:t>Normal CT but persistent severe symptoms, intoxication, anticoagulation with additional concerns, or unreliable supervision</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Individualized observation or admission</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Serial examination; medication review; reassess discharge safety</w:t>
            </w:r>
          </w:p>
        </w:tc>
      </w:tr>
      <w:tr w:rsidR="002F13EA" w:rsidRPr="00C7008C">
        <w:trPr>
          <w:jc w:val="center"/>
        </w:trPr>
        <w:tc>
          <w:tcPr>
            <w:tcW w:w="3216" w:type="dxa"/>
            <w:vAlign w:val="center"/>
          </w:tcPr>
          <w:p w:rsidR="002F13EA" w:rsidRPr="00C7008C" w:rsidRDefault="008919BD">
            <w:pPr>
              <w:rPr>
                <w:rFonts w:cs="Times New Roman"/>
                <w:sz w:val="24"/>
                <w:szCs w:val="24"/>
              </w:rPr>
            </w:pPr>
            <w:r w:rsidRPr="00C7008C">
              <w:rPr>
                <w:rFonts w:cs="Times New Roman"/>
                <w:sz w:val="24"/>
                <w:szCs w:val="24"/>
              </w:rPr>
              <w:t>Normal examination and normal CT, when indicated</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Discharge when supervision is available</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Written and verbal red-flag advice; analgesia; follow-up and progressive activity plan</w:t>
            </w:r>
          </w:p>
        </w:tc>
      </w:tr>
      <w:tr w:rsidR="002F13EA" w:rsidRPr="00C7008C">
        <w:trPr>
          <w:jc w:val="center"/>
        </w:trPr>
        <w:tc>
          <w:tcPr>
            <w:tcW w:w="3216" w:type="dxa"/>
            <w:vAlign w:val="center"/>
          </w:tcPr>
          <w:p w:rsidR="002F13EA" w:rsidRPr="00C7008C" w:rsidRDefault="008919BD">
            <w:pPr>
              <w:rPr>
                <w:rFonts w:cs="Times New Roman"/>
                <w:sz w:val="24"/>
                <w:szCs w:val="24"/>
              </w:rPr>
            </w:pPr>
            <w:r w:rsidRPr="00C7008C">
              <w:rPr>
                <w:rFonts w:cs="Times New Roman"/>
                <w:sz w:val="24"/>
                <w:szCs w:val="24"/>
              </w:rPr>
              <w:t>No CT indication according to an applicable validated rule</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Discharge or brief observation according to clinical context</w:t>
            </w:r>
          </w:p>
        </w:tc>
        <w:tc>
          <w:tcPr>
            <w:tcW w:w="3216" w:type="dxa"/>
            <w:vAlign w:val="center"/>
          </w:tcPr>
          <w:p w:rsidR="002F13EA" w:rsidRPr="00C7008C" w:rsidRDefault="008919BD">
            <w:pPr>
              <w:rPr>
                <w:rFonts w:cs="Times New Roman"/>
                <w:sz w:val="24"/>
                <w:szCs w:val="24"/>
              </w:rPr>
            </w:pPr>
            <w:r w:rsidRPr="00C7008C">
              <w:rPr>
                <w:rFonts w:cs="Times New Roman"/>
                <w:sz w:val="24"/>
                <w:szCs w:val="24"/>
              </w:rPr>
              <w:t>Education, return precautions, symptom monitoring and follow-up</w:t>
            </w:r>
          </w:p>
        </w:tc>
      </w:tr>
    </w:tbl>
    <w:p w:rsidR="002F13EA" w:rsidRPr="00C7008C" w:rsidRDefault="008919BD">
      <w:pPr>
        <w:spacing w:after="100"/>
        <w:jc w:val="both"/>
        <w:rPr>
          <w:rFonts w:cs="Times New Roman"/>
          <w:sz w:val="24"/>
          <w:szCs w:val="24"/>
        </w:rPr>
      </w:pPr>
      <w:r w:rsidRPr="00C7008C">
        <w:rPr>
          <w:rFonts w:cs="Times New Roman"/>
          <w:sz w:val="24"/>
          <w:szCs w:val="24"/>
        </w:rPr>
        <w:t>Synthesized from ACS, NICE, and contemporary mTBI</w:t>
      </w:r>
      <w:r w:rsidRPr="00A144BB">
        <w:rPr>
          <w:rFonts w:cs="Times New Roman"/>
          <w:sz w:val="24"/>
          <w:szCs w:val="24"/>
          <w:highlight w:val="green"/>
        </w:rPr>
        <w:t>guidance.</w:t>
      </w:r>
      <w:r w:rsidR="00A144BB" w:rsidRPr="00A144BB">
        <w:rPr>
          <w:rFonts w:cs="Times New Roman"/>
          <w:sz w:val="24"/>
          <w:szCs w:val="24"/>
          <w:highlight w:val="green"/>
        </w:rPr>
        <w:t>[</w:t>
      </w:r>
      <w:r w:rsidRPr="00A144BB">
        <w:rPr>
          <w:rFonts w:cs="Times New Roman"/>
          <w:sz w:val="24"/>
          <w:szCs w:val="24"/>
          <w:highlight w:val="green"/>
        </w:rPr>
        <w:t>1,6,11</w:t>
      </w:r>
      <w:r w:rsidR="00A144BB" w:rsidRPr="00A144BB">
        <w:rPr>
          <w:rFonts w:cs="Times New Roman"/>
          <w:sz w:val="24"/>
          <w:szCs w:val="24"/>
          <w:highlight w:val="green"/>
        </w:rPr>
        <w:t>]</w:t>
      </w:r>
    </w:p>
    <w:p w:rsidR="00A144BB" w:rsidRDefault="00A144BB">
      <w:pPr>
        <w:pStyle w:val="Heading1"/>
        <w:spacing w:before="160" w:after="60"/>
        <w:rPr>
          <w:rFonts w:ascii="Times New Roman" w:hAnsi="Times New Roman" w:cs="Times New Roman"/>
          <w:color w:val="auto"/>
          <w:sz w:val="24"/>
          <w:szCs w:val="24"/>
        </w:rPr>
      </w:pPr>
    </w:p>
    <w:p w:rsidR="002F13EA" w:rsidRPr="00A144BB" w:rsidRDefault="008919BD">
      <w:pPr>
        <w:pStyle w:val="Heading1"/>
        <w:spacing w:before="160" w:after="60"/>
        <w:rPr>
          <w:rFonts w:ascii="Times New Roman" w:hAnsi="Times New Roman" w:cs="Times New Roman"/>
          <w:color w:val="auto"/>
          <w:sz w:val="28"/>
        </w:rPr>
      </w:pPr>
      <w:r w:rsidRPr="00A144BB">
        <w:rPr>
          <w:rFonts w:ascii="Times New Roman" w:hAnsi="Times New Roman" w:cs="Times New Roman"/>
          <w:color w:val="auto"/>
          <w:sz w:val="28"/>
        </w:rPr>
        <w:t>Early management and progressive activity</w:t>
      </w:r>
    </w:p>
    <w:p w:rsidR="002F13EA" w:rsidRPr="00C7008C" w:rsidRDefault="008919BD">
      <w:pPr>
        <w:spacing w:after="100"/>
        <w:jc w:val="both"/>
        <w:rPr>
          <w:rFonts w:cs="Times New Roman"/>
          <w:sz w:val="24"/>
          <w:szCs w:val="24"/>
        </w:rPr>
      </w:pPr>
      <w:r w:rsidRPr="00C7008C">
        <w:rPr>
          <w:rFonts w:cs="Times New Roman"/>
          <w:sz w:val="24"/>
          <w:szCs w:val="24"/>
        </w:rPr>
        <w:t>Specific neuroprotective pharmacotherapy has not demonstrated established benefit in uncomplicated mTBI. Treatment is therefore supportive and symptom-directed. Analgesia may be offered for headache, while sedating drugs should be used cautiously because they can interfere with neurological assessment and cognition.</w:t>
      </w:r>
    </w:p>
    <w:p w:rsidR="002F13EA" w:rsidRPr="00C7008C" w:rsidRDefault="008919BD">
      <w:pPr>
        <w:spacing w:after="100"/>
        <w:jc w:val="both"/>
        <w:rPr>
          <w:rFonts w:cs="Times New Roman"/>
          <w:sz w:val="24"/>
          <w:szCs w:val="24"/>
        </w:rPr>
      </w:pPr>
      <w:r w:rsidRPr="00C7008C">
        <w:rPr>
          <w:rFonts w:cs="Times New Roman"/>
          <w:sz w:val="24"/>
          <w:szCs w:val="24"/>
        </w:rPr>
        <w:t>Prolonged complete physical and cognitive rest is no longer recommended. A short period of relative rest, usually 24-48 hours, should be followed by gradual, symptom-limited resumption of daily, cognitive, and physical activity.6 Activity should remain below the threshold that produces marked or prolonged symptom exacerbation. Patients should temporarily avoid driving, heights, heavy machinery, contact sports, and other activities in which impaired attention or another head injury would be hazardous.</w:t>
      </w:r>
    </w:p>
    <w:p w:rsidR="002F13EA" w:rsidRPr="00C7008C" w:rsidRDefault="008919BD">
      <w:pPr>
        <w:spacing w:after="100"/>
        <w:jc w:val="both"/>
        <w:rPr>
          <w:rFonts w:cs="Times New Roman"/>
          <w:sz w:val="24"/>
          <w:szCs w:val="24"/>
        </w:rPr>
      </w:pPr>
      <w:r w:rsidRPr="00C7008C">
        <w:rPr>
          <w:rFonts w:cs="Times New Roman"/>
          <w:sz w:val="24"/>
          <w:szCs w:val="24"/>
        </w:rPr>
        <w:t xml:space="preserve">Education is a therapeutic intervention. Patients should be reassured that symptoms are genuine but recovery is expected, advised about sleep and pacing, and informed that excessive fear and inactivity may delay functional restoration. Earlier evidence also suggests that education reduces the duration and severity of post-concussive </w:t>
      </w:r>
      <w:r w:rsidRPr="002537D3">
        <w:rPr>
          <w:rFonts w:cs="Times New Roman"/>
          <w:sz w:val="24"/>
          <w:szCs w:val="24"/>
          <w:highlight w:val="green"/>
        </w:rPr>
        <w:t>symptoms.</w:t>
      </w:r>
      <w:r w:rsidR="002537D3" w:rsidRPr="002537D3">
        <w:rPr>
          <w:rFonts w:cs="Times New Roman"/>
          <w:sz w:val="24"/>
          <w:szCs w:val="24"/>
          <w:highlight w:val="green"/>
        </w:rPr>
        <w:t xml:space="preserve"> [</w:t>
      </w:r>
      <w:r w:rsidRPr="002537D3">
        <w:rPr>
          <w:rFonts w:cs="Times New Roman"/>
          <w:sz w:val="24"/>
          <w:szCs w:val="24"/>
          <w:highlight w:val="green"/>
        </w:rPr>
        <w:t>3,12</w:t>
      </w:r>
      <w:r w:rsidR="002537D3" w:rsidRPr="002537D3">
        <w:rPr>
          <w:rFonts w:cs="Times New Roman"/>
          <w:sz w:val="24"/>
          <w:szCs w:val="24"/>
          <w:highlight w:val="green"/>
        </w:rPr>
        <w:t>]</w:t>
      </w:r>
    </w:p>
    <w:p w:rsidR="002F13EA" w:rsidRPr="00C7008C" w:rsidRDefault="008919BD">
      <w:pPr>
        <w:spacing w:after="100"/>
        <w:jc w:val="both"/>
        <w:rPr>
          <w:rFonts w:cs="Times New Roman"/>
          <w:sz w:val="24"/>
          <w:szCs w:val="24"/>
        </w:rPr>
      </w:pPr>
      <w:r w:rsidRPr="00C7008C">
        <w:rPr>
          <w:rFonts w:cs="Times New Roman"/>
          <w:sz w:val="24"/>
          <w:szCs w:val="24"/>
        </w:rPr>
        <w:t>Return to work should be individualized. Temporary modifications may include shorter shifts, scheduled breaks, reduced screen exposure, avoidance of hazardous work, and gradual increases in cognitive or physical demand. Athletes should not return to risk of head impact while symptomatic and should progress through a supervised graduated return-to-sport programme.</w:t>
      </w:r>
    </w:p>
    <w:p w:rsidR="002F13EA" w:rsidRPr="00C7008C" w:rsidRDefault="008919BD">
      <w:pPr>
        <w:pStyle w:val="Heading1"/>
        <w:spacing w:before="160" w:after="60"/>
        <w:rPr>
          <w:rFonts w:ascii="Times New Roman" w:hAnsi="Times New Roman" w:cs="Times New Roman"/>
          <w:color w:val="auto"/>
          <w:sz w:val="24"/>
          <w:szCs w:val="24"/>
        </w:rPr>
      </w:pPr>
      <w:r w:rsidRPr="00C7008C">
        <w:rPr>
          <w:rFonts w:ascii="Times New Roman" w:hAnsi="Times New Roman" w:cs="Times New Roman"/>
          <w:color w:val="auto"/>
          <w:sz w:val="24"/>
          <w:szCs w:val="24"/>
        </w:rPr>
        <w:lastRenderedPageBreak/>
        <w:t>Persistent post-concussion symptoms</w:t>
      </w:r>
    </w:p>
    <w:p w:rsidR="002F13EA" w:rsidRPr="00C7008C" w:rsidRDefault="008919BD">
      <w:pPr>
        <w:spacing w:after="100"/>
        <w:jc w:val="both"/>
        <w:rPr>
          <w:rFonts w:cs="Times New Roman"/>
          <w:sz w:val="24"/>
          <w:szCs w:val="24"/>
        </w:rPr>
      </w:pPr>
      <w:r w:rsidRPr="00C7008C">
        <w:rPr>
          <w:rFonts w:cs="Times New Roman"/>
          <w:sz w:val="24"/>
          <w:szCs w:val="24"/>
        </w:rPr>
        <w:t xml:space="preserve">Persistent symptoms may include headache, dizziness, imbalance, visual disturbance, fatigue, sleep disruption, impaired concentration, memory complaints, irritability, anxiety, and depression. They should not automatically be attributed to permanent structural injury. Symptoms are frequently influenced by overlapping vestibular, cervical, migraine, sleep, psychiatric, medication-related, and psychosocial </w:t>
      </w:r>
      <w:r w:rsidRPr="00243A32">
        <w:rPr>
          <w:rFonts w:cs="Times New Roman"/>
          <w:sz w:val="24"/>
          <w:szCs w:val="24"/>
          <w:highlight w:val="green"/>
        </w:rPr>
        <w:t>factors.</w:t>
      </w:r>
      <w:r w:rsidR="00243A32" w:rsidRPr="00243A32">
        <w:rPr>
          <w:rFonts w:cs="Times New Roman"/>
          <w:sz w:val="24"/>
          <w:szCs w:val="24"/>
          <w:highlight w:val="green"/>
        </w:rPr>
        <w:t xml:space="preserve"> [</w:t>
      </w:r>
      <w:r w:rsidRPr="00243A32">
        <w:rPr>
          <w:rFonts w:cs="Times New Roman"/>
          <w:sz w:val="24"/>
          <w:szCs w:val="24"/>
          <w:highlight w:val="green"/>
        </w:rPr>
        <w:t>3,12</w:t>
      </w:r>
      <w:r w:rsidR="00243A32" w:rsidRPr="00243A32">
        <w:rPr>
          <w:rFonts w:cs="Times New Roman"/>
          <w:sz w:val="24"/>
          <w:szCs w:val="24"/>
          <w:highlight w:val="green"/>
        </w:rPr>
        <w:t>]</w:t>
      </w:r>
    </w:p>
    <w:p w:rsidR="002F13EA" w:rsidRPr="00C7008C" w:rsidRDefault="008919BD">
      <w:pPr>
        <w:spacing w:after="100"/>
        <w:jc w:val="both"/>
        <w:rPr>
          <w:rFonts w:cs="Times New Roman"/>
          <w:sz w:val="24"/>
          <w:szCs w:val="24"/>
        </w:rPr>
      </w:pPr>
      <w:r w:rsidRPr="00C7008C">
        <w:rPr>
          <w:rFonts w:cs="Times New Roman"/>
          <w:sz w:val="24"/>
          <w:szCs w:val="24"/>
        </w:rPr>
        <w:t>Risk factors for delayed recovery include high initial symptom burden, previous head injury, migraine, pre-existing mental-health disorders, sleep disturbance, older age, and adverse social or occupational circumstances. Management should target the dominant symptom rather than treating persistent post-concussion symptoms as a single disease entity.</w:t>
      </w:r>
    </w:p>
    <w:p w:rsidR="002F13EA" w:rsidRPr="00C7008C" w:rsidRDefault="008919BD">
      <w:pPr>
        <w:spacing w:after="100"/>
        <w:jc w:val="both"/>
        <w:rPr>
          <w:rFonts w:cs="Times New Roman"/>
          <w:sz w:val="24"/>
          <w:szCs w:val="24"/>
        </w:rPr>
      </w:pPr>
      <w:r w:rsidRPr="00C7008C">
        <w:rPr>
          <w:rFonts w:cs="Times New Roman"/>
          <w:sz w:val="24"/>
          <w:szCs w:val="24"/>
        </w:rPr>
        <w:t xml:space="preserve">Vestibular or cervicovestibular rehabilitation may be appropriate for ongoing dizziness and imbalance. Cognitive behavioural therapy and treatment of depression, anxiety, or post-traumatic stress may improve functioning. Formal cognitive rehabilitation is generally reserved for functionally significant symptoms that persist beyond the early recovery period. The 2026 guideline suggests that multidisciplinary care may be required for complex return-to-work problems or symptoms persisting beyond </w:t>
      </w:r>
      <w:r w:rsidRPr="00CC0AED">
        <w:rPr>
          <w:rFonts w:cs="Times New Roman"/>
          <w:sz w:val="24"/>
          <w:szCs w:val="24"/>
          <w:highlight w:val="green"/>
        </w:rPr>
        <w:t>three months.</w:t>
      </w:r>
      <w:r w:rsidR="00CC0AED" w:rsidRPr="00CC0AED">
        <w:rPr>
          <w:rFonts w:cs="Times New Roman"/>
          <w:sz w:val="24"/>
          <w:szCs w:val="24"/>
          <w:highlight w:val="green"/>
        </w:rPr>
        <w:t xml:space="preserve"> [</w:t>
      </w:r>
      <w:r w:rsidRPr="00CC0AED">
        <w:rPr>
          <w:rFonts w:cs="Times New Roman"/>
          <w:sz w:val="24"/>
          <w:szCs w:val="24"/>
          <w:highlight w:val="green"/>
        </w:rPr>
        <w:t>6</w:t>
      </w:r>
      <w:r w:rsidR="00CC0AED" w:rsidRPr="00CC0AED">
        <w:rPr>
          <w:rFonts w:cs="Times New Roman"/>
          <w:sz w:val="24"/>
          <w:szCs w:val="24"/>
          <w:highlight w:val="green"/>
        </w:rPr>
        <w:t>]</w:t>
      </w:r>
    </w:p>
    <w:p w:rsidR="002F13EA" w:rsidRPr="00C7008C" w:rsidRDefault="008919BD">
      <w:pPr>
        <w:pStyle w:val="Heading1"/>
        <w:spacing w:before="160" w:after="60"/>
        <w:rPr>
          <w:rFonts w:ascii="Times New Roman" w:hAnsi="Times New Roman" w:cs="Times New Roman"/>
          <w:color w:val="auto"/>
          <w:sz w:val="24"/>
          <w:szCs w:val="24"/>
        </w:rPr>
      </w:pPr>
      <w:r w:rsidRPr="00C7008C">
        <w:rPr>
          <w:rFonts w:ascii="Times New Roman" w:hAnsi="Times New Roman" w:cs="Times New Roman"/>
          <w:color w:val="auto"/>
          <w:sz w:val="24"/>
          <w:szCs w:val="24"/>
        </w:rPr>
        <w:t>Blood-based biomarkers</w:t>
      </w:r>
    </w:p>
    <w:p w:rsidR="002F13EA" w:rsidRPr="00C7008C" w:rsidRDefault="008919BD">
      <w:pPr>
        <w:spacing w:after="100"/>
        <w:jc w:val="both"/>
        <w:rPr>
          <w:rFonts w:cs="Times New Roman"/>
          <w:sz w:val="24"/>
          <w:szCs w:val="24"/>
        </w:rPr>
      </w:pPr>
      <w:r w:rsidRPr="00C7008C">
        <w:rPr>
          <w:rFonts w:cs="Times New Roman"/>
          <w:sz w:val="24"/>
          <w:szCs w:val="24"/>
        </w:rPr>
        <w:t xml:space="preserve">Glial fibrillary acidic protein (GFAP) and ubiquitin carboxyl-terminal hydrolase-L1 (UCH-L1) are the most clinically advanced blood biomarkers in acute TBI. GFAP reflects astroglial injury, whereas UCH-L1 is enriched in neurons. Rapid combined assays have demonstrated utility in estimating the probability of an acute CT abnormality, and biomarker concentrations may add prognostic information regarding functional </w:t>
      </w:r>
      <w:r w:rsidRPr="00BD3AC1">
        <w:rPr>
          <w:rFonts w:cs="Times New Roman"/>
          <w:sz w:val="24"/>
          <w:szCs w:val="24"/>
          <w:highlight w:val="green"/>
        </w:rPr>
        <w:t>recovery.</w:t>
      </w:r>
      <w:r w:rsidR="00BD3AC1" w:rsidRPr="00BD3AC1">
        <w:rPr>
          <w:rFonts w:cs="Times New Roman"/>
          <w:sz w:val="24"/>
          <w:szCs w:val="24"/>
          <w:highlight w:val="green"/>
        </w:rPr>
        <w:t xml:space="preserve"> [</w:t>
      </w:r>
      <w:r w:rsidRPr="00BD3AC1">
        <w:rPr>
          <w:rFonts w:cs="Times New Roman"/>
          <w:sz w:val="24"/>
          <w:szCs w:val="24"/>
          <w:highlight w:val="green"/>
        </w:rPr>
        <w:t>13-15</w:t>
      </w:r>
      <w:r w:rsidR="00BD3AC1" w:rsidRPr="00BD3AC1">
        <w:rPr>
          <w:rFonts w:cs="Times New Roman"/>
          <w:sz w:val="24"/>
          <w:szCs w:val="24"/>
          <w:highlight w:val="green"/>
        </w:rPr>
        <w:t>]</w:t>
      </w:r>
    </w:p>
    <w:p w:rsidR="002F13EA" w:rsidRPr="00C7008C" w:rsidRDefault="008919BD">
      <w:pPr>
        <w:spacing w:after="100"/>
        <w:jc w:val="both"/>
        <w:rPr>
          <w:rFonts w:cs="Times New Roman"/>
          <w:sz w:val="24"/>
          <w:szCs w:val="24"/>
        </w:rPr>
      </w:pPr>
      <w:r w:rsidRPr="00C7008C">
        <w:rPr>
          <w:rFonts w:cs="Times New Roman"/>
          <w:sz w:val="24"/>
          <w:szCs w:val="24"/>
        </w:rPr>
        <w:t xml:space="preserve">Biomarkers should not be interpreted as stand-alone diagnostic tests. Their performance varies with age, sampling time, extracranial injury, comorbidity, and assay platform. The ACS guideline recommends considering them as an adjunct in appropriately selected patients rather than as a substitute for history, examination, decision rules, or CT when clearly </w:t>
      </w:r>
      <w:r w:rsidRPr="00BD3AC1">
        <w:rPr>
          <w:rFonts w:cs="Times New Roman"/>
          <w:sz w:val="24"/>
          <w:szCs w:val="24"/>
          <w:highlight w:val="green"/>
        </w:rPr>
        <w:t>indicated.</w:t>
      </w:r>
      <w:r w:rsidR="00BD3AC1" w:rsidRPr="00BD3AC1">
        <w:rPr>
          <w:rFonts w:cs="Times New Roman"/>
          <w:sz w:val="24"/>
          <w:szCs w:val="24"/>
          <w:highlight w:val="green"/>
        </w:rPr>
        <w:t xml:space="preserve"> [</w:t>
      </w:r>
      <w:r w:rsidRPr="00BD3AC1">
        <w:rPr>
          <w:rFonts w:cs="Times New Roman"/>
          <w:sz w:val="24"/>
          <w:szCs w:val="24"/>
          <w:highlight w:val="green"/>
        </w:rPr>
        <w:t>1</w:t>
      </w:r>
      <w:r w:rsidR="00BD3AC1" w:rsidRPr="00BD3AC1">
        <w:rPr>
          <w:rFonts w:cs="Times New Roman"/>
          <w:sz w:val="24"/>
          <w:szCs w:val="24"/>
          <w:highlight w:val="green"/>
        </w:rPr>
        <w:t>]</w:t>
      </w:r>
    </w:p>
    <w:p w:rsidR="002F13EA" w:rsidRPr="00C7008C" w:rsidRDefault="008919BD">
      <w:pPr>
        <w:pStyle w:val="Heading1"/>
        <w:spacing w:before="160" w:after="60"/>
        <w:rPr>
          <w:rFonts w:ascii="Times New Roman" w:hAnsi="Times New Roman" w:cs="Times New Roman"/>
          <w:color w:val="auto"/>
          <w:sz w:val="24"/>
          <w:szCs w:val="24"/>
        </w:rPr>
      </w:pPr>
      <w:r w:rsidRPr="00C7008C">
        <w:rPr>
          <w:rFonts w:ascii="Times New Roman" w:hAnsi="Times New Roman" w:cs="Times New Roman"/>
          <w:color w:val="auto"/>
          <w:sz w:val="24"/>
          <w:szCs w:val="24"/>
        </w:rPr>
        <w:t>Artificial intelligence</w:t>
      </w:r>
    </w:p>
    <w:p w:rsidR="002F13EA" w:rsidRPr="00C7008C" w:rsidRDefault="008919BD">
      <w:pPr>
        <w:spacing w:after="100"/>
        <w:jc w:val="both"/>
        <w:rPr>
          <w:rFonts w:cs="Times New Roman"/>
          <w:sz w:val="24"/>
          <w:szCs w:val="24"/>
        </w:rPr>
      </w:pPr>
      <w:r w:rsidRPr="00C7008C">
        <w:rPr>
          <w:rFonts w:cs="Times New Roman"/>
          <w:sz w:val="24"/>
          <w:szCs w:val="24"/>
        </w:rPr>
        <w:t xml:space="preserve">Artificial intelligence and machine learning are being evaluated for automated CT lesion segmentation, prediction of treatment intensity, outcome modelling, screening, and identification of clinically meaningful TBI phenotypes. A 2025 systematic review reported areas under the receiver-operating characteristic curve of approximately 0.81-0.93 across prognostic applications, but noted that simple regression models sometimes performed similarly to more complex </w:t>
      </w:r>
      <w:r w:rsidRPr="00385D26">
        <w:rPr>
          <w:rFonts w:cs="Times New Roman"/>
          <w:sz w:val="24"/>
          <w:szCs w:val="24"/>
          <w:highlight w:val="green"/>
        </w:rPr>
        <w:t>approaches.</w:t>
      </w:r>
      <w:r w:rsidR="00385D26" w:rsidRPr="00385D26">
        <w:rPr>
          <w:rFonts w:cs="Times New Roman"/>
          <w:sz w:val="24"/>
          <w:szCs w:val="24"/>
          <w:highlight w:val="green"/>
        </w:rPr>
        <w:t xml:space="preserve"> [</w:t>
      </w:r>
      <w:r w:rsidRPr="00385D26">
        <w:rPr>
          <w:rFonts w:cs="Times New Roman"/>
          <w:sz w:val="24"/>
          <w:szCs w:val="24"/>
          <w:highlight w:val="green"/>
        </w:rPr>
        <w:t>16</w:t>
      </w:r>
      <w:r w:rsidR="00385D26" w:rsidRPr="00385D26">
        <w:rPr>
          <w:rFonts w:cs="Times New Roman"/>
          <w:sz w:val="24"/>
          <w:szCs w:val="24"/>
          <w:highlight w:val="green"/>
        </w:rPr>
        <w:t>]</w:t>
      </w:r>
      <w:r w:rsidRPr="00C7008C">
        <w:rPr>
          <w:rFonts w:cs="Times New Roman"/>
          <w:sz w:val="24"/>
          <w:szCs w:val="24"/>
        </w:rPr>
        <w:t>Screening models for mTBI achieved overall accuracies of approximately 0.80-0.86 but only modest sensitivity for CT-positive injuries.</w:t>
      </w:r>
    </w:p>
    <w:p w:rsidR="002F13EA" w:rsidRPr="00C7008C" w:rsidRDefault="008919BD">
      <w:pPr>
        <w:spacing w:after="100"/>
        <w:jc w:val="both"/>
        <w:rPr>
          <w:rFonts w:cs="Times New Roman"/>
          <w:sz w:val="24"/>
          <w:szCs w:val="24"/>
        </w:rPr>
      </w:pPr>
      <w:r w:rsidRPr="00C7008C">
        <w:rPr>
          <w:rFonts w:cs="Times New Roman"/>
          <w:sz w:val="24"/>
          <w:szCs w:val="24"/>
        </w:rPr>
        <w:t xml:space="preserve">A separate 2025 review found encouraging applications in imaging and outcome prediction but identified few clinical studies and limited evidence of real-world </w:t>
      </w:r>
      <w:r w:rsidRPr="003F46C4">
        <w:rPr>
          <w:rFonts w:cs="Times New Roman"/>
          <w:sz w:val="24"/>
          <w:szCs w:val="24"/>
          <w:highlight w:val="green"/>
        </w:rPr>
        <w:t>effectiveness.</w:t>
      </w:r>
      <w:r w:rsidR="003F46C4" w:rsidRPr="003F46C4">
        <w:rPr>
          <w:rFonts w:cs="Times New Roman"/>
          <w:sz w:val="24"/>
          <w:szCs w:val="24"/>
          <w:highlight w:val="green"/>
        </w:rPr>
        <w:t xml:space="preserve"> [</w:t>
      </w:r>
      <w:r w:rsidRPr="003F46C4">
        <w:rPr>
          <w:rFonts w:cs="Times New Roman"/>
          <w:sz w:val="24"/>
          <w:szCs w:val="24"/>
          <w:highlight w:val="green"/>
        </w:rPr>
        <w:t>17</w:t>
      </w:r>
      <w:r w:rsidR="003F46C4" w:rsidRPr="003F46C4">
        <w:rPr>
          <w:rFonts w:cs="Times New Roman"/>
          <w:sz w:val="24"/>
          <w:szCs w:val="24"/>
          <w:highlight w:val="green"/>
        </w:rPr>
        <w:t>]</w:t>
      </w:r>
      <w:r w:rsidRPr="00C7008C">
        <w:rPr>
          <w:rFonts w:cs="Times New Roman"/>
          <w:sz w:val="24"/>
          <w:szCs w:val="24"/>
        </w:rPr>
        <w:t xml:space="preserve"> Current limitations include retrospective single-centre datasets, small samples, missing-data bias, overfitting, poor calibration reporting, limited external validation, and insufficient interpretability. </w:t>
      </w:r>
      <w:r w:rsidRPr="00C7008C">
        <w:rPr>
          <w:rFonts w:cs="Times New Roman"/>
          <w:sz w:val="24"/>
          <w:szCs w:val="24"/>
        </w:rPr>
        <w:lastRenderedPageBreak/>
        <w:t>AI should therefore be regarded as an investigational decision-support tool rather than an autonomous diagnostic system.</w:t>
      </w:r>
    </w:p>
    <w:p w:rsidR="002F13EA" w:rsidRPr="003F46C4" w:rsidRDefault="008919BD">
      <w:pPr>
        <w:pStyle w:val="Heading1"/>
        <w:spacing w:before="160" w:after="60"/>
        <w:rPr>
          <w:rFonts w:ascii="Times New Roman" w:hAnsi="Times New Roman" w:cs="Times New Roman"/>
          <w:color w:val="auto"/>
          <w:sz w:val="28"/>
        </w:rPr>
      </w:pPr>
      <w:r w:rsidRPr="003F46C4">
        <w:rPr>
          <w:rFonts w:ascii="Times New Roman" w:hAnsi="Times New Roman" w:cs="Times New Roman"/>
          <w:color w:val="auto"/>
          <w:sz w:val="28"/>
        </w:rPr>
        <w:t>Conclusion</w:t>
      </w:r>
    </w:p>
    <w:p w:rsidR="002F13EA" w:rsidRPr="00C7008C" w:rsidRDefault="008919BD">
      <w:pPr>
        <w:spacing w:after="100"/>
        <w:jc w:val="both"/>
        <w:rPr>
          <w:rFonts w:cs="Times New Roman"/>
          <w:sz w:val="24"/>
          <w:szCs w:val="24"/>
        </w:rPr>
      </w:pPr>
      <w:r w:rsidRPr="00C7008C">
        <w:rPr>
          <w:rFonts w:cs="Times New Roman"/>
          <w:sz w:val="24"/>
          <w:szCs w:val="24"/>
        </w:rPr>
        <w:t xml:space="preserve">Mild traumatic brain injury is common and usually associated with </w:t>
      </w:r>
      <w:r w:rsidR="003F46C4" w:rsidRPr="00C7008C">
        <w:rPr>
          <w:rFonts w:cs="Times New Roman"/>
          <w:sz w:val="24"/>
          <w:szCs w:val="24"/>
        </w:rPr>
        <w:t>favorable</w:t>
      </w:r>
      <w:r w:rsidRPr="00C7008C">
        <w:rPr>
          <w:rFonts w:cs="Times New Roman"/>
          <w:sz w:val="24"/>
          <w:szCs w:val="24"/>
        </w:rPr>
        <w:t xml:space="preserve"> recovery, but it is neither clinically uniform nor invariably benign. Acute assessment must identify intracranial injury and neurological deterioration while limiting unnecessary CT and admission. The Canadian CT Head Rule provides high sensitivity with greater specificity than the New Orleans Criteria when used in its intended population. Patients suitable for discharge require clear warning signs, responsible supervision, early education, and an individualized progressive return to activity. Persistent symptoms should be evaluated using a biopsychosocial and symptom-specific approach, with targeted treatment. Blood biomarkers and artificial intelligence may improve risk stratification, but neither currently replaces careful clinical assessment or validated decision rules. Future research should prioritize standardized definitions, prospective validation, patient-</w:t>
      </w:r>
      <w:r w:rsidR="003F46C4" w:rsidRPr="00C7008C">
        <w:rPr>
          <w:rFonts w:cs="Times New Roman"/>
          <w:sz w:val="24"/>
          <w:szCs w:val="24"/>
        </w:rPr>
        <w:t>centered</w:t>
      </w:r>
      <w:r w:rsidRPr="00C7008C">
        <w:rPr>
          <w:rFonts w:cs="Times New Roman"/>
          <w:sz w:val="24"/>
          <w:szCs w:val="24"/>
        </w:rPr>
        <w:t xml:space="preserve"> outcomes, and integration of emerging diagnostic tools into practical care pathways.</w:t>
      </w:r>
    </w:p>
    <w:p w:rsidR="002F13EA" w:rsidRPr="005C1C6D" w:rsidRDefault="008919BD">
      <w:pPr>
        <w:pStyle w:val="Heading1"/>
        <w:spacing w:before="160" w:after="60"/>
        <w:rPr>
          <w:rFonts w:ascii="Times New Roman" w:hAnsi="Times New Roman" w:cs="Times New Roman"/>
          <w:color w:val="auto"/>
          <w:sz w:val="28"/>
        </w:rPr>
      </w:pPr>
      <w:r w:rsidRPr="005C1C6D">
        <w:rPr>
          <w:rFonts w:ascii="Times New Roman" w:hAnsi="Times New Roman" w:cs="Times New Roman"/>
          <w:color w:val="auto"/>
          <w:sz w:val="28"/>
        </w:rPr>
        <w:t>References</w:t>
      </w:r>
    </w:p>
    <w:p w:rsidR="00F84A6C" w:rsidRDefault="008919BD" w:rsidP="005C1C6D">
      <w:pPr>
        <w:spacing w:after="60" w:line="240" w:lineRule="auto"/>
        <w:ind w:left="360" w:hanging="360"/>
        <w:jc w:val="both"/>
        <w:rPr>
          <w:rFonts w:cs="Times New Roman"/>
          <w:sz w:val="24"/>
          <w:szCs w:val="24"/>
        </w:rPr>
      </w:pPr>
      <w:r w:rsidRPr="00C7008C">
        <w:rPr>
          <w:rFonts w:cs="Times New Roman"/>
          <w:sz w:val="24"/>
          <w:szCs w:val="24"/>
        </w:rPr>
        <w:t xml:space="preserve">1. </w:t>
      </w:r>
      <w:r w:rsidR="00F84A6C" w:rsidRPr="00F84A6C">
        <w:rPr>
          <w:rFonts w:cs="Times New Roman"/>
          <w:sz w:val="24"/>
          <w:szCs w:val="24"/>
        </w:rPr>
        <w:t>Murtaugh B, Hammond F, Giacino JT. American College of Surgeons Best Practice Guidelines on Management of Traumatic Brain Injury: Executive Summary of Early Rehabilitation Recommendations. Archives of Physical Medicine and Rehabilitation. 2026 May 30.</w:t>
      </w:r>
    </w:p>
    <w:p w:rsidR="00F84A6C" w:rsidRDefault="008919BD" w:rsidP="005C1C6D">
      <w:pPr>
        <w:spacing w:after="60" w:line="240" w:lineRule="auto"/>
        <w:ind w:left="360" w:hanging="360"/>
        <w:jc w:val="both"/>
        <w:rPr>
          <w:rFonts w:cs="Times New Roman"/>
          <w:sz w:val="24"/>
          <w:szCs w:val="24"/>
        </w:rPr>
      </w:pPr>
      <w:r w:rsidRPr="00C7008C">
        <w:rPr>
          <w:rFonts w:cs="Times New Roman"/>
          <w:sz w:val="24"/>
          <w:szCs w:val="24"/>
        </w:rPr>
        <w:t xml:space="preserve">2. </w:t>
      </w:r>
      <w:r w:rsidR="00F84A6C" w:rsidRPr="00F84A6C">
        <w:rPr>
          <w:rFonts w:cs="Times New Roman"/>
          <w:sz w:val="24"/>
          <w:szCs w:val="24"/>
        </w:rPr>
        <w:t>af Geijerstam JL, Britton M. Mild head injury–mortality and complication rate: meta-analysis of findings in a systematic literature review. Acta neurochirurgica. 2003 Oct;145(10):843-50.</w:t>
      </w:r>
    </w:p>
    <w:p w:rsidR="00F84A6C" w:rsidRDefault="008919BD" w:rsidP="005C1C6D">
      <w:pPr>
        <w:spacing w:after="60" w:line="240" w:lineRule="auto"/>
        <w:ind w:left="360" w:hanging="360"/>
        <w:jc w:val="both"/>
        <w:rPr>
          <w:rFonts w:cs="Times New Roman"/>
          <w:sz w:val="24"/>
          <w:szCs w:val="24"/>
        </w:rPr>
      </w:pPr>
      <w:r w:rsidRPr="00C7008C">
        <w:rPr>
          <w:rFonts w:cs="Times New Roman"/>
          <w:sz w:val="24"/>
          <w:szCs w:val="24"/>
        </w:rPr>
        <w:t xml:space="preserve">3. </w:t>
      </w:r>
      <w:r w:rsidR="00F84A6C" w:rsidRPr="00F84A6C">
        <w:rPr>
          <w:rFonts w:cs="Times New Roman"/>
          <w:sz w:val="24"/>
          <w:szCs w:val="24"/>
        </w:rPr>
        <w:t>Anderson T, Heitger M, Macleod AD. Concussion and mild head injury. Practical Neurology. 2006 Dec 1;6(6):342-57.</w:t>
      </w:r>
    </w:p>
    <w:p w:rsidR="00F84A6C" w:rsidRDefault="008919BD" w:rsidP="005C1C6D">
      <w:pPr>
        <w:spacing w:after="60" w:line="240" w:lineRule="auto"/>
        <w:ind w:left="360" w:hanging="360"/>
        <w:jc w:val="both"/>
        <w:rPr>
          <w:rFonts w:cs="Times New Roman"/>
          <w:sz w:val="24"/>
          <w:szCs w:val="24"/>
        </w:rPr>
      </w:pPr>
      <w:r w:rsidRPr="00C7008C">
        <w:rPr>
          <w:rFonts w:cs="Times New Roman"/>
          <w:sz w:val="24"/>
          <w:szCs w:val="24"/>
        </w:rPr>
        <w:t xml:space="preserve">4. </w:t>
      </w:r>
      <w:r w:rsidR="00F84A6C" w:rsidRPr="00F84A6C">
        <w:rPr>
          <w:rFonts w:cs="Times New Roman"/>
          <w:sz w:val="24"/>
          <w:szCs w:val="24"/>
        </w:rPr>
        <w:t>Servadei F. Neurotraumatology Committee of the World Federation of Neurosurgical Societies: Defining acute mild head injury in adults: a proposal based on prognostic factors, diagnosis, and management. J Neurotrauma. 2001;18:657-64.</w:t>
      </w:r>
    </w:p>
    <w:p w:rsidR="00A61AFE" w:rsidRDefault="008919BD" w:rsidP="005C1C6D">
      <w:pPr>
        <w:spacing w:after="60" w:line="240" w:lineRule="auto"/>
        <w:ind w:left="360" w:hanging="360"/>
        <w:jc w:val="both"/>
        <w:rPr>
          <w:rFonts w:cs="Times New Roman"/>
          <w:sz w:val="24"/>
          <w:szCs w:val="24"/>
        </w:rPr>
      </w:pPr>
      <w:r w:rsidRPr="00C7008C">
        <w:rPr>
          <w:rFonts w:cs="Times New Roman"/>
          <w:sz w:val="24"/>
          <w:szCs w:val="24"/>
        </w:rPr>
        <w:t xml:space="preserve">5. </w:t>
      </w:r>
      <w:r w:rsidR="00A61AFE" w:rsidRPr="00A61AFE">
        <w:rPr>
          <w:rFonts w:cs="Times New Roman"/>
          <w:sz w:val="24"/>
          <w:szCs w:val="24"/>
        </w:rPr>
        <w:t>Comper P, Bisschop SM, Carnide N, Tricco A. A systematic review of treatments for mild traumatic brain injury. Brain injury. 2005 Oct 1;19(11):863-80.</w:t>
      </w:r>
    </w:p>
    <w:p w:rsidR="00481FF1" w:rsidRDefault="008919BD" w:rsidP="005C1C6D">
      <w:pPr>
        <w:spacing w:after="60" w:line="240" w:lineRule="auto"/>
        <w:ind w:left="360" w:hanging="360"/>
        <w:jc w:val="both"/>
        <w:rPr>
          <w:rFonts w:cs="Times New Roman"/>
          <w:sz w:val="24"/>
          <w:szCs w:val="24"/>
        </w:rPr>
      </w:pPr>
      <w:r w:rsidRPr="00C7008C">
        <w:rPr>
          <w:rFonts w:cs="Times New Roman"/>
          <w:sz w:val="24"/>
          <w:szCs w:val="24"/>
        </w:rPr>
        <w:t xml:space="preserve">6. </w:t>
      </w:r>
      <w:r w:rsidR="00481FF1" w:rsidRPr="00481FF1">
        <w:rPr>
          <w:rFonts w:cs="Times New Roman"/>
          <w:sz w:val="24"/>
          <w:szCs w:val="24"/>
        </w:rPr>
        <w:t xml:space="preserve">Massachusetts Department of Industrial Accidents. </w:t>
      </w:r>
      <w:r w:rsidR="00481FF1" w:rsidRPr="00481FF1">
        <w:rPr>
          <w:rFonts w:cs="Times New Roman"/>
          <w:i/>
          <w:iCs/>
          <w:sz w:val="24"/>
          <w:szCs w:val="24"/>
        </w:rPr>
        <w:t>Mild traumatic brain injury treatment guideline</w:t>
      </w:r>
      <w:r w:rsidR="00481FF1" w:rsidRPr="00481FF1">
        <w:rPr>
          <w:rFonts w:cs="Times New Roman"/>
          <w:sz w:val="24"/>
          <w:szCs w:val="24"/>
        </w:rPr>
        <w:t xml:space="preserve">. Boston (MA): Massachusetts Department of Industrial Accidents; 2026. Available from: </w:t>
      </w:r>
      <w:hyperlink r:id="rId9" w:tgtFrame="_blank" w:history="1">
        <w:r w:rsidR="00481FF1" w:rsidRPr="00481FF1">
          <w:rPr>
            <w:rStyle w:val="Hyperlink"/>
            <w:rFonts w:cs="Times New Roman"/>
            <w:sz w:val="24"/>
            <w:szCs w:val="24"/>
          </w:rPr>
          <w:t>Massachusetts Mild Traumatic Brain Injury Treatment Guideline</w:t>
        </w:r>
      </w:hyperlink>
      <w:r w:rsidR="00481FF1" w:rsidRPr="00481FF1">
        <w:rPr>
          <w:rFonts w:cs="Times New Roman"/>
          <w:sz w:val="24"/>
          <w:szCs w:val="24"/>
        </w:rPr>
        <w:t xml:space="preserve">. Accessed 2026 Jul 16. </w:t>
      </w:r>
    </w:p>
    <w:p w:rsidR="00A61AFE" w:rsidRDefault="008919BD" w:rsidP="005C1C6D">
      <w:pPr>
        <w:spacing w:after="60" w:line="240" w:lineRule="auto"/>
        <w:ind w:left="360" w:hanging="360"/>
        <w:jc w:val="both"/>
        <w:rPr>
          <w:rFonts w:cs="Times New Roman"/>
          <w:sz w:val="24"/>
          <w:szCs w:val="24"/>
        </w:rPr>
      </w:pPr>
      <w:r w:rsidRPr="00C7008C">
        <w:rPr>
          <w:rFonts w:cs="Times New Roman"/>
          <w:sz w:val="24"/>
          <w:szCs w:val="24"/>
        </w:rPr>
        <w:t xml:space="preserve">7. </w:t>
      </w:r>
      <w:r w:rsidR="00A61AFE" w:rsidRPr="00A61AFE">
        <w:rPr>
          <w:rFonts w:cs="Times New Roman"/>
          <w:sz w:val="24"/>
          <w:szCs w:val="24"/>
        </w:rPr>
        <w:t>Hayes RL, Dixon CE. Neurochemical changes in mild head injury. InSeminars in Neurology 1994 Mar (Vol. 14</w:t>
      </w:r>
      <w:r w:rsidR="00A61AFE">
        <w:rPr>
          <w:rFonts w:cs="Times New Roman"/>
          <w:sz w:val="24"/>
          <w:szCs w:val="24"/>
        </w:rPr>
        <w:t>, No. 01, pp. 25-31).</w:t>
      </w:r>
    </w:p>
    <w:p w:rsidR="00A61AFE" w:rsidRDefault="008919BD" w:rsidP="005C1C6D">
      <w:pPr>
        <w:spacing w:after="60" w:line="240" w:lineRule="auto"/>
        <w:ind w:left="360" w:hanging="360"/>
        <w:jc w:val="both"/>
        <w:rPr>
          <w:rFonts w:cs="Times New Roman"/>
          <w:sz w:val="24"/>
          <w:szCs w:val="24"/>
        </w:rPr>
      </w:pPr>
      <w:r w:rsidRPr="00C7008C">
        <w:rPr>
          <w:rFonts w:cs="Times New Roman"/>
          <w:sz w:val="24"/>
          <w:szCs w:val="24"/>
        </w:rPr>
        <w:t xml:space="preserve">8. </w:t>
      </w:r>
      <w:r w:rsidR="00A61AFE" w:rsidRPr="00A61AFE">
        <w:rPr>
          <w:rFonts w:cs="Times New Roman"/>
          <w:sz w:val="24"/>
          <w:szCs w:val="24"/>
        </w:rPr>
        <w:t>Metting Z, Rödiger LA, De Keyser J, van der Naalt J. Structural and functional neuroimaging in mild-to-moderate head injury. The Lancet Neurology. 2007 Aug 1;6(8):699-710.</w:t>
      </w:r>
    </w:p>
    <w:p w:rsidR="00A61AFE" w:rsidRDefault="008919BD" w:rsidP="005C1C6D">
      <w:pPr>
        <w:spacing w:after="60" w:line="240" w:lineRule="auto"/>
        <w:ind w:left="360" w:hanging="360"/>
        <w:jc w:val="both"/>
        <w:rPr>
          <w:rFonts w:cs="Times New Roman"/>
          <w:sz w:val="24"/>
          <w:szCs w:val="24"/>
        </w:rPr>
      </w:pPr>
      <w:r w:rsidRPr="00C7008C">
        <w:rPr>
          <w:rFonts w:cs="Times New Roman"/>
          <w:sz w:val="24"/>
          <w:szCs w:val="24"/>
        </w:rPr>
        <w:t xml:space="preserve">9. </w:t>
      </w:r>
      <w:r w:rsidR="00A61AFE" w:rsidRPr="00A61AFE">
        <w:rPr>
          <w:rFonts w:cs="Times New Roman"/>
          <w:sz w:val="24"/>
          <w:szCs w:val="24"/>
        </w:rPr>
        <w:t>Stiell IG, Wells GA, Vandemheen K, Clement C, Lesiuk H, Laupacis A, McKnight RD, Verbeek R, Brison R, Cass D, Eisenhauer MA. The Canadian CT Head Rule for patients with minor head injury. The Lancet. 2001 May 5;357(9266):1391-6.</w:t>
      </w:r>
    </w:p>
    <w:p w:rsidR="00A61AFE" w:rsidRDefault="008919BD" w:rsidP="005C1C6D">
      <w:pPr>
        <w:spacing w:after="60" w:line="240" w:lineRule="auto"/>
        <w:ind w:left="360" w:hanging="360"/>
        <w:jc w:val="both"/>
        <w:rPr>
          <w:rFonts w:cs="Times New Roman"/>
          <w:sz w:val="24"/>
          <w:szCs w:val="24"/>
        </w:rPr>
      </w:pPr>
      <w:r w:rsidRPr="00C7008C">
        <w:rPr>
          <w:rFonts w:cs="Times New Roman"/>
          <w:sz w:val="24"/>
          <w:szCs w:val="24"/>
        </w:rPr>
        <w:t xml:space="preserve">10. </w:t>
      </w:r>
      <w:r w:rsidR="00A61AFE" w:rsidRPr="00A61AFE">
        <w:rPr>
          <w:rFonts w:cs="Times New Roman"/>
          <w:sz w:val="24"/>
          <w:szCs w:val="24"/>
        </w:rPr>
        <w:t>Stiell IG, Clement CM, Rowe BH, Schull MJ, Brison R, Cass D, Eisenhauer MA, McKnight RD, Bandiera G, Holroyd B, Lee JS. Comparison of the Canadian CT Head Rule and the New Orleans Criteria in patients with minor head injury. Jama. 2005 Sep 28;294(12):1511-8.</w:t>
      </w:r>
    </w:p>
    <w:p w:rsidR="00A61AFE" w:rsidRDefault="008919BD" w:rsidP="005C1C6D">
      <w:pPr>
        <w:spacing w:after="60" w:line="240" w:lineRule="auto"/>
        <w:ind w:left="360" w:hanging="360"/>
        <w:jc w:val="both"/>
        <w:rPr>
          <w:rFonts w:cs="Times New Roman"/>
          <w:sz w:val="24"/>
          <w:szCs w:val="24"/>
        </w:rPr>
      </w:pPr>
      <w:r w:rsidRPr="00792F9E">
        <w:rPr>
          <w:rFonts w:cs="Times New Roman"/>
          <w:sz w:val="24"/>
          <w:szCs w:val="24"/>
        </w:rPr>
        <w:t xml:space="preserve">11. </w:t>
      </w:r>
      <w:r w:rsidR="002537D3" w:rsidRPr="00792F9E">
        <w:rPr>
          <w:rFonts w:cs="Times New Roman"/>
          <w:bCs/>
          <w:sz w:val="24"/>
          <w:szCs w:val="24"/>
        </w:rPr>
        <w:t>National Center for Biotechnology Information (US). Brain injury biomarkers and/or MRI</w:t>
      </w:r>
      <w:r w:rsidR="002537D3" w:rsidRPr="002537D3">
        <w:rPr>
          <w:rFonts w:cs="Times New Roman"/>
          <w:bCs/>
          <w:sz w:val="24"/>
          <w:szCs w:val="24"/>
        </w:rPr>
        <w:t xml:space="preserve"> for predicting post-concussion syndrome. In: </w:t>
      </w:r>
      <w:r w:rsidR="002537D3" w:rsidRPr="002537D3">
        <w:rPr>
          <w:rFonts w:cs="Times New Roman"/>
          <w:bCs/>
          <w:i/>
          <w:iCs/>
          <w:sz w:val="24"/>
          <w:szCs w:val="24"/>
        </w:rPr>
        <w:t>Head injury: assessment and early management</w:t>
      </w:r>
      <w:r w:rsidR="002537D3" w:rsidRPr="002537D3">
        <w:rPr>
          <w:rFonts w:cs="Times New Roman"/>
          <w:bCs/>
          <w:sz w:val="24"/>
          <w:szCs w:val="24"/>
        </w:rPr>
        <w:t xml:space="preserve">. </w:t>
      </w:r>
      <w:r w:rsidR="002537D3" w:rsidRPr="002537D3">
        <w:rPr>
          <w:rFonts w:cs="Times New Roman"/>
          <w:bCs/>
          <w:sz w:val="24"/>
          <w:szCs w:val="24"/>
        </w:rPr>
        <w:lastRenderedPageBreak/>
        <w:t xml:space="preserve">Bethesda (MD): National Library of Medicine (US); 2023. (NICE Guideline No. 232: Evidence Review K). Available from: </w:t>
      </w:r>
      <w:hyperlink r:id="rId10" w:tgtFrame="_new" w:history="1">
        <w:r w:rsidR="002537D3" w:rsidRPr="002537D3">
          <w:rPr>
            <w:rStyle w:val="Hyperlink"/>
            <w:rFonts w:cs="Times New Roman"/>
            <w:bCs/>
            <w:sz w:val="24"/>
            <w:szCs w:val="24"/>
          </w:rPr>
          <w:t>https://www.ncbi.nlm.nih.gov/books/NBK592430/</w:t>
        </w:r>
      </w:hyperlink>
    </w:p>
    <w:p w:rsidR="00A61AFE" w:rsidRDefault="008919BD" w:rsidP="005C1C6D">
      <w:pPr>
        <w:spacing w:after="60" w:line="240" w:lineRule="auto"/>
        <w:ind w:left="360" w:hanging="360"/>
        <w:jc w:val="both"/>
        <w:rPr>
          <w:rFonts w:cs="Times New Roman"/>
          <w:sz w:val="24"/>
          <w:szCs w:val="24"/>
        </w:rPr>
      </w:pPr>
      <w:r w:rsidRPr="00C7008C">
        <w:rPr>
          <w:rFonts w:cs="Times New Roman"/>
          <w:sz w:val="24"/>
          <w:szCs w:val="24"/>
        </w:rPr>
        <w:t xml:space="preserve">12. </w:t>
      </w:r>
      <w:r w:rsidR="00A61AFE" w:rsidRPr="00A61AFE">
        <w:rPr>
          <w:rFonts w:cs="Times New Roman"/>
          <w:sz w:val="24"/>
          <w:szCs w:val="24"/>
        </w:rPr>
        <w:t>Binder LM. Persisting symptoms after mild head injury: A review of the postconcussive syndrome. Journal of clinical and experimental neuropsychology. 1986 Aug 1;8(4):323-46.</w:t>
      </w:r>
    </w:p>
    <w:p w:rsidR="00A61AFE" w:rsidRDefault="008919BD" w:rsidP="005C1C6D">
      <w:pPr>
        <w:spacing w:after="60" w:line="240" w:lineRule="auto"/>
        <w:ind w:left="360" w:hanging="360"/>
        <w:jc w:val="both"/>
        <w:rPr>
          <w:rFonts w:cs="Times New Roman"/>
          <w:sz w:val="24"/>
          <w:szCs w:val="24"/>
        </w:rPr>
      </w:pPr>
      <w:r w:rsidRPr="00C7008C">
        <w:rPr>
          <w:rFonts w:cs="Times New Roman"/>
          <w:sz w:val="24"/>
          <w:szCs w:val="24"/>
        </w:rPr>
        <w:t xml:space="preserve">13. </w:t>
      </w:r>
      <w:r w:rsidR="00A61AFE" w:rsidRPr="00A61AFE">
        <w:rPr>
          <w:rFonts w:cs="Times New Roman"/>
          <w:sz w:val="24"/>
          <w:szCs w:val="24"/>
        </w:rPr>
        <w:t>Bazarian JJ, Welch RD, Caudle K, Jeffrey CA, Chen JY, Chandran R, McCaw T, Datwyler SA, Zhang H, McQuiston B. Accuracy of a rapid glial fibrillary acidic protein/ubiquitin carboxyl‐terminal hydrolase L1 test for the prediction of intracranial injuries on head computed tomography after mild traumatic brain injury. Academic Emergency Medicine. 2021 Nov;28(11):1308-17.</w:t>
      </w:r>
    </w:p>
    <w:p w:rsidR="00A61AFE" w:rsidRDefault="008919BD" w:rsidP="005C1C6D">
      <w:pPr>
        <w:spacing w:after="60" w:line="240" w:lineRule="auto"/>
        <w:ind w:left="360" w:hanging="360"/>
        <w:jc w:val="both"/>
        <w:rPr>
          <w:rFonts w:cs="Times New Roman"/>
          <w:sz w:val="24"/>
          <w:szCs w:val="24"/>
        </w:rPr>
      </w:pPr>
      <w:r w:rsidRPr="00C7008C">
        <w:rPr>
          <w:rFonts w:cs="Times New Roman"/>
          <w:sz w:val="24"/>
          <w:szCs w:val="24"/>
        </w:rPr>
        <w:t xml:space="preserve">14. </w:t>
      </w:r>
      <w:r w:rsidR="00A61AFE" w:rsidRPr="00A61AFE">
        <w:rPr>
          <w:rFonts w:cs="Times New Roman"/>
          <w:sz w:val="24"/>
          <w:szCs w:val="24"/>
        </w:rPr>
        <w:t>Czeiter E, Amrein K, Gravesteijn BY, Lecky F, Menon DK, Mondello S, Newcombe VF, Richter S, Steyerberg EW, Vande Vyvere T, Verheyden J. Blood biomarkers on admission in acute traumatic brain injury: relations to severity, CT findings and care path in the CENTER-TBI study. EBioMedicine. 2020 Jun 1;56.</w:t>
      </w:r>
    </w:p>
    <w:p w:rsidR="00A61AFE" w:rsidRDefault="008919BD" w:rsidP="005C1C6D">
      <w:pPr>
        <w:spacing w:after="60" w:line="240" w:lineRule="auto"/>
        <w:ind w:left="360" w:hanging="360"/>
        <w:jc w:val="both"/>
        <w:rPr>
          <w:rFonts w:cs="Times New Roman"/>
          <w:sz w:val="24"/>
          <w:szCs w:val="24"/>
        </w:rPr>
      </w:pPr>
      <w:r w:rsidRPr="00C7008C">
        <w:rPr>
          <w:rFonts w:cs="Times New Roman"/>
          <w:sz w:val="24"/>
          <w:szCs w:val="24"/>
        </w:rPr>
        <w:t xml:space="preserve">15. </w:t>
      </w:r>
      <w:r w:rsidR="00A61AFE" w:rsidRPr="00A61AFE">
        <w:rPr>
          <w:rFonts w:cs="Times New Roman"/>
          <w:sz w:val="24"/>
          <w:szCs w:val="24"/>
        </w:rPr>
        <w:t>Korley FK, Jain S, Sun X, Puccio AM, Yue JK, Gardner RC, Wang KK, Okonkwo DO, Yuh EL, Mukherjee P, Nelson LD. Prognostic value of day-of-injury plasma GFAP and UCH-L1 concentrations for predicting functional recovery after traumatic brain injury in patients from the US TRACK-TBI cohort: an observational cohort study. The Lancet Neurology. 2022 Sep 1;21(9):803-13.</w:t>
      </w:r>
    </w:p>
    <w:p w:rsidR="00A61AFE" w:rsidRDefault="008919BD" w:rsidP="005C1C6D">
      <w:pPr>
        <w:spacing w:after="60" w:line="240" w:lineRule="auto"/>
        <w:ind w:left="360" w:hanging="360"/>
        <w:jc w:val="both"/>
        <w:rPr>
          <w:rFonts w:cs="Times New Roman"/>
          <w:sz w:val="24"/>
          <w:szCs w:val="24"/>
        </w:rPr>
      </w:pPr>
      <w:r w:rsidRPr="00C7008C">
        <w:rPr>
          <w:rFonts w:cs="Times New Roman"/>
          <w:sz w:val="24"/>
          <w:szCs w:val="24"/>
        </w:rPr>
        <w:t xml:space="preserve">16. </w:t>
      </w:r>
      <w:r w:rsidR="00A61AFE" w:rsidRPr="00A61AFE">
        <w:rPr>
          <w:rFonts w:cs="Times New Roman"/>
          <w:sz w:val="24"/>
          <w:szCs w:val="24"/>
        </w:rPr>
        <w:t>Ahmed AE, Alyami RM, Al Ghazwi FH, Hamzi RH, Alshammari NK, Jali FM, Al Alduwayh AA, Almujami TM, Alamri AS, Sabban JA, Alsum GF. Artificial Intelligence in Traumatic Brain Injury: A Systematic Review of Prognostic, Diagnostic, and Monitoring Applications. Cureus. 2025 Nov 11;17(11).</w:t>
      </w:r>
    </w:p>
    <w:p w:rsidR="00A61AFE" w:rsidRDefault="008919BD" w:rsidP="005C1C6D">
      <w:pPr>
        <w:spacing w:after="60" w:line="240" w:lineRule="auto"/>
        <w:ind w:left="360" w:hanging="360"/>
        <w:jc w:val="both"/>
        <w:rPr>
          <w:rFonts w:cs="Times New Roman"/>
          <w:sz w:val="24"/>
          <w:szCs w:val="24"/>
        </w:rPr>
      </w:pPr>
      <w:r w:rsidRPr="00C7008C">
        <w:rPr>
          <w:rFonts w:cs="Times New Roman"/>
          <w:sz w:val="24"/>
          <w:szCs w:val="24"/>
        </w:rPr>
        <w:t xml:space="preserve">17. </w:t>
      </w:r>
      <w:r w:rsidR="00A61AFE" w:rsidRPr="00A61AFE">
        <w:rPr>
          <w:rFonts w:cs="Times New Roman"/>
          <w:sz w:val="24"/>
          <w:szCs w:val="24"/>
        </w:rPr>
        <w:t>May C, Gould M, Natesan S. Use of artificial intelligence in diagnosis and prognosis of traumatic brain injury: a scoping review. International Journal of Emergency Medicine. 2025 Oct 20;18(1):212.</w:t>
      </w:r>
    </w:p>
    <w:sectPr w:rsidR="00A61AFE" w:rsidSect="00034616">
      <w:footerReference w:type="default" r:id="rId11"/>
      <w:pgSz w:w="12240" w:h="15840"/>
      <w:pgMar w:top="1152" w:right="1296" w:bottom="1152"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89F" w:rsidRDefault="0033589F" w:rsidP="002F13EA">
      <w:pPr>
        <w:spacing w:after="0" w:line="240" w:lineRule="auto"/>
      </w:pPr>
      <w:r>
        <w:separator/>
      </w:r>
    </w:p>
  </w:endnote>
  <w:endnote w:type="continuationSeparator" w:id="1">
    <w:p w:rsidR="0033589F" w:rsidRDefault="0033589F" w:rsidP="002F1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EA" w:rsidRDefault="00936ADD">
    <w:pPr>
      <w:pStyle w:val="Footer"/>
      <w:jc w:val="center"/>
    </w:pPr>
    <w:r>
      <w:fldChar w:fldCharType="begin"/>
    </w:r>
    <w:r w:rsidR="008919BD">
      <w:instrText xml:space="preserve"> PAGE </w:instrText>
    </w:r>
    <w:r>
      <w:fldChar w:fldCharType="separate"/>
    </w:r>
    <w:r w:rsidR="00DB0BB4">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89F" w:rsidRDefault="0033589F" w:rsidP="002F13EA">
      <w:pPr>
        <w:spacing w:after="0" w:line="240" w:lineRule="auto"/>
      </w:pPr>
      <w:r>
        <w:separator/>
      </w:r>
    </w:p>
  </w:footnote>
  <w:footnote w:type="continuationSeparator" w:id="1">
    <w:p w:rsidR="0033589F" w:rsidRDefault="0033589F" w:rsidP="002F13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B1F4FF5"/>
    <w:multiLevelType w:val="hybridMultilevel"/>
    <w:tmpl w:val="67DA88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8229E8"/>
    <w:multiLevelType w:val="hybridMultilevel"/>
    <w:tmpl w:val="67DA88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0F5DA5"/>
    <w:rsid w:val="0015074B"/>
    <w:rsid w:val="00165F04"/>
    <w:rsid w:val="001731D0"/>
    <w:rsid w:val="001C2947"/>
    <w:rsid w:val="001E7FFE"/>
    <w:rsid w:val="00243A32"/>
    <w:rsid w:val="002537D3"/>
    <w:rsid w:val="0029639D"/>
    <w:rsid w:val="002B577B"/>
    <w:rsid w:val="002F0050"/>
    <w:rsid w:val="002F13EA"/>
    <w:rsid w:val="00326F90"/>
    <w:rsid w:val="0033589F"/>
    <w:rsid w:val="0037623C"/>
    <w:rsid w:val="00385D26"/>
    <w:rsid w:val="003F46C4"/>
    <w:rsid w:val="003F5B75"/>
    <w:rsid w:val="004009A3"/>
    <w:rsid w:val="00417908"/>
    <w:rsid w:val="00481FF1"/>
    <w:rsid w:val="00534E43"/>
    <w:rsid w:val="00596D85"/>
    <w:rsid w:val="005C1C6D"/>
    <w:rsid w:val="005E0A2D"/>
    <w:rsid w:val="00620BF4"/>
    <w:rsid w:val="00792F9E"/>
    <w:rsid w:val="00836D6D"/>
    <w:rsid w:val="008919BD"/>
    <w:rsid w:val="00936ADD"/>
    <w:rsid w:val="00A144BB"/>
    <w:rsid w:val="00A44568"/>
    <w:rsid w:val="00A61AFE"/>
    <w:rsid w:val="00AA1D8D"/>
    <w:rsid w:val="00B23B0B"/>
    <w:rsid w:val="00B47730"/>
    <w:rsid w:val="00BB2A28"/>
    <w:rsid w:val="00BD3AC1"/>
    <w:rsid w:val="00C7008C"/>
    <w:rsid w:val="00CB0664"/>
    <w:rsid w:val="00CC0AED"/>
    <w:rsid w:val="00D66C98"/>
    <w:rsid w:val="00DB0BB4"/>
    <w:rsid w:val="00E64F07"/>
    <w:rsid w:val="00F14DCE"/>
    <w:rsid w:val="00F57AA6"/>
    <w:rsid w:val="00F84A6C"/>
    <w:rsid w:val="00FC693F"/>
    <w:rsid w:val="00FD25B4"/>
    <w:rsid w:val="00FD6691"/>
    <w:rsid w:val="00FF0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534E43"/>
    <w:rPr>
      <w:color w:val="0563C1"/>
      <w:u w:val="single"/>
    </w:rPr>
  </w:style>
  <w:style w:type="paragraph" w:styleId="BalloonText">
    <w:name w:val="Balloon Text"/>
    <w:basedOn w:val="Normal"/>
    <w:link w:val="BalloonTextChar"/>
    <w:uiPriority w:val="99"/>
    <w:semiHidden/>
    <w:unhideWhenUsed/>
    <w:rsid w:val="000F5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DA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cbi.nlm.nih.gov/books/NBK592430/" TargetMode="External"/><Relationship Id="rId4" Type="http://schemas.openxmlformats.org/officeDocument/2006/relationships/settings" Target="settings.xml"/><Relationship Id="rId9" Type="http://schemas.openxmlformats.org/officeDocument/2006/relationships/hyperlink" Target="https://www.mass.gov/lists/massachusetts-treatment-guidelines-and-protocols-for-injured-worker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3437</Words>
  <Characters>19592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Asus</cp:lastModifiedBy>
  <cp:revision>2</cp:revision>
  <dcterms:created xsi:type="dcterms:W3CDTF">2026-07-16T05:45:00Z</dcterms:created>
  <dcterms:modified xsi:type="dcterms:W3CDTF">2026-07-16T05:45:00Z</dcterms:modified>
</cp:coreProperties>
</file>