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F3E66" w14:textId="77777777" w:rsidR="00937C1A" w:rsidRPr="00A85BE3" w:rsidRDefault="00937C1A" w:rsidP="00937C1A">
      <w:pPr>
        <w:spacing w:line="480" w:lineRule="auto"/>
        <w:jc w:val="both"/>
        <w:rPr>
          <w:rFonts w:ascii="Times New Roman" w:hAnsi="Times New Roman" w:cs="Times New Roman"/>
          <w:sz w:val="44"/>
          <w:szCs w:val="44"/>
        </w:rPr>
      </w:pPr>
      <w:r w:rsidRPr="00A85BE3">
        <w:rPr>
          <w:rFonts w:ascii="Times New Roman" w:hAnsi="Times New Roman" w:cs="Times New Roman"/>
          <w:b/>
          <w:bCs/>
          <w:sz w:val="44"/>
          <w:szCs w:val="44"/>
        </w:rPr>
        <w:t>An Autopsy-Based Study on Sudden Natural Death at a Tertiary Care Centre</w:t>
      </w:r>
    </w:p>
    <w:p w14:paraId="2869D374" w14:textId="6238183E" w:rsidR="00937C1A" w:rsidRDefault="00A85BE3" w:rsidP="00937C1A">
      <w:pPr>
        <w:spacing w:line="480" w:lineRule="auto"/>
        <w:jc w:val="both"/>
        <w:rPr>
          <w:rFonts w:ascii="Times New Roman" w:hAnsi="Times New Roman" w:cs="Times New Roman"/>
          <w:b/>
          <w:bCs/>
          <w:sz w:val="21"/>
          <w:szCs w:val="21"/>
        </w:rPr>
      </w:pPr>
      <w:r w:rsidRPr="00A85BE3">
        <w:rPr>
          <w:rFonts w:ascii="Times New Roman" w:hAnsi="Times New Roman" w:cs="Times New Roman"/>
          <w:b/>
          <w:bCs/>
          <w:sz w:val="21"/>
          <w:szCs w:val="21"/>
        </w:rPr>
        <w:t>ABSTRACT</w:t>
      </w:r>
    </w:p>
    <w:p w14:paraId="4DBB854E" w14:textId="1130A429" w:rsidR="0077408E" w:rsidRPr="0077408E" w:rsidRDefault="0077408E" w:rsidP="0077408E">
      <w:pPr>
        <w:spacing w:line="480" w:lineRule="auto"/>
        <w:jc w:val="both"/>
        <w:rPr>
          <w:rFonts w:ascii="Times New Roman" w:hAnsi="Times New Roman" w:cs="Times New Roman"/>
          <w:sz w:val="21"/>
          <w:szCs w:val="21"/>
        </w:rPr>
      </w:pPr>
      <w:r w:rsidRPr="0077408E">
        <w:rPr>
          <w:rFonts w:ascii="Times New Roman" w:hAnsi="Times New Roman" w:cs="Times New Roman"/>
          <w:b/>
          <w:bCs/>
          <w:sz w:val="21"/>
          <w:szCs w:val="21"/>
        </w:rPr>
        <w:t xml:space="preserve">Background and aims: </w:t>
      </w:r>
      <w:r w:rsidRPr="0077408E">
        <w:rPr>
          <w:rFonts w:ascii="Times New Roman" w:hAnsi="Times New Roman" w:cs="Times New Roman"/>
          <w:sz w:val="21"/>
          <w:szCs w:val="21"/>
        </w:rPr>
        <w:t xml:space="preserve">A death </w:t>
      </w:r>
      <w:r w:rsidR="00C310C7">
        <w:rPr>
          <w:rFonts w:ascii="Times New Roman" w:hAnsi="Times New Roman" w:cs="Times New Roman"/>
          <w:sz w:val="21"/>
          <w:szCs w:val="21"/>
        </w:rPr>
        <w:t xml:space="preserve">which occurs to an apparently healthy individual within 24 hours of onset of terminal symptoms constitutes sudden or unexpected death. </w:t>
      </w:r>
      <w:r w:rsidRPr="0077408E">
        <w:rPr>
          <w:rFonts w:ascii="Times New Roman" w:hAnsi="Times New Roman" w:cs="Times New Roman"/>
          <w:sz w:val="21"/>
          <w:szCs w:val="21"/>
        </w:rPr>
        <w:t>This study</w:t>
      </w:r>
      <w:r w:rsidR="00C310C7">
        <w:rPr>
          <w:rFonts w:ascii="Times New Roman" w:hAnsi="Times New Roman" w:cs="Times New Roman"/>
          <w:sz w:val="21"/>
          <w:szCs w:val="21"/>
        </w:rPr>
        <w:t xml:space="preserve"> aims to</w:t>
      </w:r>
      <w:r w:rsidRPr="0077408E">
        <w:rPr>
          <w:rFonts w:ascii="Times New Roman" w:hAnsi="Times New Roman" w:cs="Times New Roman"/>
          <w:sz w:val="21"/>
          <w:szCs w:val="21"/>
        </w:rPr>
        <w:t xml:space="preserve"> highlight</w:t>
      </w:r>
      <w:r w:rsidR="00C310C7">
        <w:rPr>
          <w:rFonts w:ascii="Times New Roman" w:hAnsi="Times New Roman" w:cs="Times New Roman"/>
          <w:sz w:val="21"/>
          <w:szCs w:val="21"/>
        </w:rPr>
        <w:t xml:space="preserve"> the</w:t>
      </w:r>
      <w:r w:rsidRPr="0077408E">
        <w:rPr>
          <w:rFonts w:ascii="Times New Roman" w:hAnsi="Times New Roman" w:cs="Times New Roman"/>
          <w:sz w:val="21"/>
          <w:szCs w:val="21"/>
        </w:rPr>
        <w:t xml:space="preserve"> primary causes of sudden natural deaths recorded at a tertiary care centre.</w:t>
      </w:r>
    </w:p>
    <w:p w14:paraId="2DF5D029" w14:textId="77777777" w:rsidR="0077408E" w:rsidRPr="0077408E" w:rsidRDefault="0077408E" w:rsidP="0077408E">
      <w:pPr>
        <w:spacing w:line="480" w:lineRule="auto"/>
        <w:jc w:val="both"/>
        <w:rPr>
          <w:rFonts w:ascii="Times New Roman" w:hAnsi="Times New Roman" w:cs="Times New Roman"/>
          <w:sz w:val="21"/>
          <w:szCs w:val="21"/>
        </w:rPr>
      </w:pPr>
      <w:r w:rsidRPr="0077408E">
        <w:rPr>
          <w:rFonts w:ascii="Times New Roman" w:hAnsi="Times New Roman" w:cs="Times New Roman"/>
          <w:b/>
          <w:bCs/>
          <w:sz w:val="21"/>
          <w:szCs w:val="21"/>
        </w:rPr>
        <w:t xml:space="preserve">Material and methods: </w:t>
      </w:r>
      <w:r w:rsidRPr="0077408E">
        <w:rPr>
          <w:rFonts w:ascii="Times New Roman" w:hAnsi="Times New Roman" w:cs="Times New Roman"/>
          <w:sz w:val="21"/>
          <w:szCs w:val="21"/>
        </w:rPr>
        <w:t>This five-year retrospective study (January 2021 to December 2025) included all sudden natural death cases brought for medicolegal autopsy at a tertiary care centre. Non-sudden natural deaths, unnatural deaths, decomposed bodies, and unidentified bodies were excluded. Data from postmortem registers, police inquests, and histopathological reports were compiled and analysed using descriptive statistics.</w:t>
      </w:r>
    </w:p>
    <w:p w14:paraId="4A3F9208" w14:textId="63B5732F" w:rsidR="0077408E" w:rsidRPr="0077408E" w:rsidRDefault="0077408E" w:rsidP="0077408E">
      <w:pPr>
        <w:spacing w:line="480" w:lineRule="auto"/>
        <w:jc w:val="both"/>
        <w:rPr>
          <w:rFonts w:ascii="Times New Roman" w:hAnsi="Times New Roman" w:cs="Times New Roman"/>
          <w:sz w:val="21"/>
          <w:szCs w:val="21"/>
        </w:rPr>
      </w:pPr>
      <w:r w:rsidRPr="0077408E">
        <w:rPr>
          <w:rFonts w:ascii="Times New Roman" w:hAnsi="Times New Roman" w:cs="Times New Roman"/>
          <w:b/>
          <w:bCs/>
          <w:sz w:val="21"/>
          <w:szCs w:val="21"/>
        </w:rPr>
        <w:t xml:space="preserve">Results: </w:t>
      </w:r>
      <w:r w:rsidRPr="0077408E">
        <w:rPr>
          <w:rFonts w:ascii="Times New Roman" w:hAnsi="Times New Roman" w:cs="Times New Roman"/>
          <w:sz w:val="21"/>
          <w:szCs w:val="21"/>
        </w:rPr>
        <w:t xml:space="preserve">Out of 990 autopsies, 109 were sudden natural deaths (11.0%). Males comprised 94.5% of the cases. The peak age group was &gt;50–60 years (30.3%), followed by &gt;40–50 years (28.4%), &gt;30–40 years (23.9%), and &gt;20–30 years (13.7%). Cardiovascular diseases were the leading cause of death (64.2%), followed by </w:t>
      </w:r>
      <w:r w:rsidR="00830C77" w:rsidRPr="00830C77">
        <w:rPr>
          <w:rFonts w:ascii="Times New Roman" w:hAnsi="Times New Roman" w:cs="Times New Roman"/>
          <w:sz w:val="21"/>
          <w:szCs w:val="21"/>
        </w:rPr>
        <w:t>gastrointestina</w:t>
      </w:r>
      <w:r w:rsidR="00830C77">
        <w:rPr>
          <w:rFonts w:ascii="Times New Roman" w:hAnsi="Times New Roman" w:cs="Times New Roman"/>
          <w:sz w:val="21"/>
          <w:szCs w:val="21"/>
        </w:rPr>
        <w:t xml:space="preserve">l (12.8%), </w:t>
      </w:r>
      <w:r w:rsidRPr="0077408E">
        <w:rPr>
          <w:rFonts w:ascii="Times New Roman" w:hAnsi="Times New Roman" w:cs="Times New Roman"/>
          <w:sz w:val="21"/>
          <w:szCs w:val="21"/>
        </w:rPr>
        <w:t>respiratory (11.</w:t>
      </w:r>
      <w:r w:rsidR="00830C77">
        <w:rPr>
          <w:rFonts w:ascii="Times New Roman" w:hAnsi="Times New Roman" w:cs="Times New Roman"/>
          <w:sz w:val="21"/>
          <w:szCs w:val="21"/>
        </w:rPr>
        <w:t>9</w:t>
      </w:r>
      <w:r w:rsidRPr="0077408E">
        <w:rPr>
          <w:rFonts w:ascii="Times New Roman" w:hAnsi="Times New Roman" w:cs="Times New Roman"/>
          <w:sz w:val="21"/>
          <w:szCs w:val="21"/>
        </w:rPr>
        <w:t>%)</w:t>
      </w:r>
      <w:r w:rsidR="00830C77">
        <w:rPr>
          <w:rFonts w:ascii="Times New Roman" w:hAnsi="Times New Roman" w:cs="Times New Roman"/>
          <w:sz w:val="21"/>
          <w:szCs w:val="21"/>
        </w:rPr>
        <w:t xml:space="preserve"> and </w:t>
      </w:r>
      <w:r w:rsidRPr="0077408E">
        <w:rPr>
          <w:rFonts w:ascii="Times New Roman" w:hAnsi="Times New Roman" w:cs="Times New Roman"/>
          <w:sz w:val="21"/>
          <w:szCs w:val="21"/>
        </w:rPr>
        <w:t xml:space="preserve">central nervous </w:t>
      </w:r>
      <w:r w:rsidR="00830C77">
        <w:rPr>
          <w:rFonts w:ascii="Times New Roman" w:hAnsi="Times New Roman" w:cs="Times New Roman"/>
          <w:sz w:val="21"/>
          <w:szCs w:val="21"/>
        </w:rPr>
        <w:t xml:space="preserve">system </w:t>
      </w:r>
      <w:r w:rsidRPr="0077408E">
        <w:rPr>
          <w:rFonts w:ascii="Times New Roman" w:hAnsi="Times New Roman" w:cs="Times New Roman"/>
          <w:sz w:val="21"/>
          <w:szCs w:val="21"/>
        </w:rPr>
        <w:t>(1</w:t>
      </w:r>
      <w:r w:rsidR="00830C77">
        <w:rPr>
          <w:rFonts w:ascii="Times New Roman" w:hAnsi="Times New Roman" w:cs="Times New Roman"/>
          <w:sz w:val="21"/>
          <w:szCs w:val="21"/>
        </w:rPr>
        <w:t>1</w:t>
      </w:r>
      <w:r w:rsidRPr="0077408E">
        <w:rPr>
          <w:rFonts w:ascii="Times New Roman" w:hAnsi="Times New Roman" w:cs="Times New Roman"/>
          <w:sz w:val="21"/>
          <w:szCs w:val="21"/>
        </w:rPr>
        <w:t>%)</w:t>
      </w:r>
      <w:r w:rsidR="00830C77">
        <w:rPr>
          <w:rFonts w:ascii="Times New Roman" w:hAnsi="Times New Roman" w:cs="Times New Roman"/>
          <w:sz w:val="21"/>
          <w:szCs w:val="21"/>
        </w:rPr>
        <w:t xml:space="preserve"> </w:t>
      </w:r>
      <w:r w:rsidRPr="0077408E">
        <w:rPr>
          <w:rFonts w:ascii="Times New Roman" w:hAnsi="Times New Roman" w:cs="Times New Roman"/>
          <w:sz w:val="21"/>
          <w:szCs w:val="21"/>
        </w:rPr>
        <w:t>pathologies. Of the 70 cardiovascular fatalities, 56 (80.0%) resulted from coronary artery disease (CAD).</w:t>
      </w:r>
    </w:p>
    <w:p w14:paraId="744429A9" w14:textId="03D20E48" w:rsidR="0077408E" w:rsidRPr="00A85BE3" w:rsidRDefault="0077408E" w:rsidP="0077408E">
      <w:pPr>
        <w:spacing w:line="480" w:lineRule="auto"/>
        <w:jc w:val="both"/>
        <w:rPr>
          <w:rFonts w:ascii="Times New Roman" w:hAnsi="Times New Roman" w:cs="Times New Roman"/>
          <w:b/>
          <w:bCs/>
          <w:sz w:val="21"/>
          <w:szCs w:val="21"/>
        </w:rPr>
      </w:pPr>
      <w:r w:rsidRPr="0077408E">
        <w:rPr>
          <w:rFonts w:ascii="Times New Roman" w:hAnsi="Times New Roman" w:cs="Times New Roman"/>
          <w:b/>
          <w:bCs/>
          <w:sz w:val="21"/>
          <w:szCs w:val="21"/>
        </w:rPr>
        <w:t xml:space="preserve">Conclusion: </w:t>
      </w:r>
      <w:r w:rsidRPr="0077408E">
        <w:rPr>
          <w:rFonts w:ascii="Times New Roman" w:hAnsi="Times New Roman" w:cs="Times New Roman"/>
          <w:sz w:val="21"/>
          <w:szCs w:val="21"/>
        </w:rPr>
        <w:t>Coronary artery disease is the leading cause of sudden natural death (51.4% of total cases), primarily affecting males in their sixth decade. This regional profile can assist policy-makers in strengthening screening health programmes and targeted preventive measures.</w:t>
      </w:r>
    </w:p>
    <w:p w14:paraId="55ED9B04" w14:textId="7E1B669D"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b/>
          <w:bCs/>
          <w:sz w:val="21"/>
          <w:szCs w:val="21"/>
        </w:rPr>
        <w:t>Keywords:</w:t>
      </w:r>
      <w:r w:rsidRPr="00A85BE3">
        <w:rPr>
          <w:rFonts w:ascii="Times New Roman" w:hAnsi="Times New Roman" w:cs="Times New Roman"/>
          <w:sz w:val="21"/>
          <w:szCs w:val="21"/>
        </w:rPr>
        <w:t xml:space="preserve"> Coronary artery disease; Medicolegal autopsy; Tertiary care centre.</w:t>
      </w:r>
    </w:p>
    <w:p w14:paraId="1760D1A8" w14:textId="2B0FCFA8" w:rsidR="00937C1A" w:rsidRPr="00A85BE3" w:rsidRDefault="00A85BE3" w:rsidP="00937C1A">
      <w:pPr>
        <w:spacing w:line="480" w:lineRule="auto"/>
        <w:jc w:val="both"/>
        <w:rPr>
          <w:rFonts w:ascii="Times New Roman" w:hAnsi="Times New Roman" w:cs="Times New Roman"/>
          <w:b/>
          <w:bCs/>
          <w:sz w:val="21"/>
          <w:szCs w:val="21"/>
        </w:rPr>
      </w:pPr>
      <w:r w:rsidRPr="00A85BE3">
        <w:rPr>
          <w:rFonts w:ascii="Times New Roman" w:hAnsi="Times New Roman" w:cs="Times New Roman"/>
          <w:b/>
          <w:bCs/>
          <w:sz w:val="21"/>
          <w:szCs w:val="21"/>
        </w:rPr>
        <w:t>INTRODUCTION</w:t>
      </w:r>
    </w:p>
    <w:p w14:paraId="0BC48736" w14:textId="5C0B5B77" w:rsidR="00772294" w:rsidRPr="00667EFE" w:rsidRDefault="00CD451C" w:rsidP="00772294">
      <w:pPr>
        <w:spacing w:line="480" w:lineRule="auto"/>
        <w:jc w:val="both"/>
        <w:rPr>
          <w:rFonts w:ascii="Times New Roman" w:hAnsi="Times New Roman" w:cs="Times New Roman"/>
          <w:sz w:val="21"/>
          <w:szCs w:val="21"/>
        </w:rPr>
      </w:pPr>
      <w:r>
        <w:rPr>
          <w:rFonts w:ascii="Times New Roman" w:hAnsi="Times New Roman" w:cs="Times New Roman"/>
          <w:sz w:val="21"/>
          <w:szCs w:val="21"/>
        </w:rPr>
        <w:t>S</w:t>
      </w:r>
      <w:r w:rsidR="00AA2424" w:rsidRPr="00A85BE3">
        <w:rPr>
          <w:rFonts w:ascii="Times New Roman" w:hAnsi="Times New Roman" w:cs="Times New Roman"/>
          <w:sz w:val="21"/>
          <w:szCs w:val="21"/>
        </w:rPr>
        <w:t xml:space="preserve">udden </w:t>
      </w:r>
      <w:r w:rsidR="00AA2424">
        <w:rPr>
          <w:rFonts w:ascii="Times New Roman" w:hAnsi="Times New Roman" w:cs="Times New Roman"/>
          <w:sz w:val="21"/>
          <w:szCs w:val="21"/>
        </w:rPr>
        <w:t xml:space="preserve">or unexpected </w:t>
      </w:r>
      <w:r w:rsidR="00AA2424" w:rsidRPr="00A85BE3">
        <w:rPr>
          <w:rFonts w:ascii="Times New Roman" w:hAnsi="Times New Roman" w:cs="Times New Roman"/>
          <w:sz w:val="21"/>
          <w:szCs w:val="21"/>
        </w:rPr>
        <w:t xml:space="preserve">death </w:t>
      </w:r>
      <w:r>
        <w:rPr>
          <w:rFonts w:ascii="Times New Roman" w:hAnsi="Times New Roman" w:cs="Times New Roman"/>
          <w:sz w:val="21"/>
          <w:szCs w:val="21"/>
        </w:rPr>
        <w:t>refers to</w:t>
      </w:r>
      <w:r w:rsidR="00AA2424" w:rsidRPr="00A85BE3">
        <w:rPr>
          <w:rFonts w:ascii="Times New Roman" w:hAnsi="Times New Roman" w:cs="Times New Roman"/>
          <w:sz w:val="21"/>
          <w:szCs w:val="21"/>
        </w:rPr>
        <w:t xml:space="preserve"> </w:t>
      </w:r>
      <w:r w:rsidR="008827D1">
        <w:rPr>
          <w:rFonts w:ascii="Times New Roman" w:hAnsi="Times New Roman" w:cs="Times New Roman"/>
          <w:sz w:val="21"/>
          <w:szCs w:val="21"/>
        </w:rPr>
        <w:t xml:space="preserve">the </w:t>
      </w:r>
      <w:r w:rsidR="00AA2424" w:rsidRPr="00A85BE3">
        <w:rPr>
          <w:rFonts w:ascii="Times New Roman" w:hAnsi="Times New Roman" w:cs="Times New Roman"/>
          <w:sz w:val="21"/>
          <w:szCs w:val="21"/>
        </w:rPr>
        <w:t xml:space="preserve">death </w:t>
      </w:r>
      <w:r w:rsidR="008827D1">
        <w:rPr>
          <w:rFonts w:ascii="Times New Roman" w:hAnsi="Times New Roman" w:cs="Times New Roman"/>
          <w:sz w:val="21"/>
          <w:szCs w:val="21"/>
        </w:rPr>
        <w:t>of</w:t>
      </w:r>
      <w:r w:rsidR="00AA2424" w:rsidRPr="00A85BE3">
        <w:rPr>
          <w:rFonts w:ascii="Times New Roman" w:hAnsi="Times New Roman" w:cs="Times New Roman"/>
          <w:sz w:val="21"/>
          <w:szCs w:val="21"/>
        </w:rPr>
        <w:t xml:space="preserve"> an</w:t>
      </w:r>
      <w:r w:rsidR="00AA2424">
        <w:rPr>
          <w:rFonts w:ascii="Times New Roman" w:hAnsi="Times New Roman" w:cs="Times New Roman"/>
          <w:sz w:val="21"/>
          <w:szCs w:val="21"/>
        </w:rPr>
        <w:t xml:space="preserve"> apparently healthy</w:t>
      </w:r>
      <w:r w:rsidR="00AA2424" w:rsidRPr="00A85BE3">
        <w:rPr>
          <w:rFonts w:ascii="Times New Roman" w:hAnsi="Times New Roman" w:cs="Times New Roman"/>
          <w:sz w:val="21"/>
          <w:szCs w:val="21"/>
        </w:rPr>
        <w:t xml:space="preserve"> individual without any known prior </w:t>
      </w:r>
      <w:r>
        <w:rPr>
          <w:rFonts w:ascii="Times New Roman" w:hAnsi="Times New Roman" w:cs="Times New Roman"/>
          <w:sz w:val="21"/>
          <w:szCs w:val="21"/>
        </w:rPr>
        <w:t>potentially fatal</w:t>
      </w:r>
      <w:r w:rsidR="00AA2424" w:rsidRPr="00A85BE3">
        <w:rPr>
          <w:rFonts w:ascii="Times New Roman" w:hAnsi="Times New Roman" w:cs="Times New Roman"/>
          <w:sz w:val="21"/>
          <w:szCs w:val="21"/>
        </w:rPr>
        <w:t xml:space="preserve"> </w:t>
      </w:r>
      <w:r>
        <w:rPr>
          <w:rFonts w:ascii="Times New Roman" w:hAnsi="Times New Roman" w:cs="Times New Roman"/>
          <w:sz w:val="21"/>
          <w:szCs w:val="21"/>
        </w:rPr>
        <w:t>disease</w:t>
      </w:r>
      <w:r w:rsidR="000C74E4">
        <w:rPr>
          <w:rFonts w:ascii="Times New Roman" w:hAnsi="Times New Roman" w:cs="Times New Roman"/>
          <w:sz w:val="21"/>
          <w:szCs w:val="21"/>
        </w:rPr>
        <w:t>, injury or poisoning</w:t>
      </w:r>
      <w:r w:rsidR="008827D1">
        <w:rPr>
          <w:rFonts w:ascii="Times New Roman" w:hAnsi="Times New Roman" w:cs="Times New Roman"/>
          <w:sz w:val="21"/>
          <w:szCs w:val="21"/>
        </w:rPr>
        <w:t xml:space="preserve">, </w:t>
      </w:r>
      <w:r w:rsidR="008827D1" w:rsidRPr="00A85BE3">
        <w:rPr>
          <w:rFonts w:ascii="Times New Roman" w:hAnsi="Times New Roman" w:cs="Times New Roman"/>
          <w:sz w:val="21"/>
          <w:szCs w:val="21"/>
        </w:rPr>
        <w:t>within 24 hours of the onset of terminal symptoms</w:t>
      </w:r>
      <w:r w:rsidR="00AA2424" w:rsidRPr="00A85BE3">
        <w:rPr>
          <w:rFonts w:ascii="Times New Roman" w:hAnsi="Times New Roman" w:cs="Times New Roman"/>
          <w:sz w:val="21"/>
          <w:szCs w:val="21"/>
        </w:rPr>
        <w:t>.</w:t>
      </w:r>
      <w:r>
        <w:rPr>
          <w:rFonts w:ascii="Times New Roman" w:hAnsi="Times New Roman" w:cs="Times New Roman"/>
          <w:sz w:val="21"/>
          <w:szCs w:val="21"/>
          <w:vertAlign w:val="superscript"/>
        </w:rPr>
        <w:t>1</w:t>
      </w:r>
      <w:r w:rsidR="00AA2424">
        <w:rPr>
          <w:rFonts w:ascii="Times New Roman" w:hAnsi="Times New Roman" w:cs="Times New Roman"/>
          <w:sz w:val="21"/>
          <w:szCs w:val="21"/>
          <w:vertAlign w:val="superscript"/>
        </w:rPr>
        <w:t xml:space="preserve"> </w:t>
      </w:r>
      <w:r w:rsidR="0074248A">
        <w:rPr>
          <w:rFonts w:ascii="Times New Roman" w:hAnsi="Times New Roman" w:cs="Times New Roman"/>
          <w:sz w:val="21"/>
          <w:szCs w:val="21"/>
        </w:rPr>
        <w:t xml:space="preserve">The </w:t>
      </w:r>
      <w:r w:rsidR="007975FD">
        <w:rPr>
          <w:rFonts w:ascii="Times New Roman" w:hAnsi="Times New Roman" w:cs="Times New Roman"/>
          <w:sz w:val="21"/>
          <w:szCs w:val="21"/>
        </w:rPr>
        <w:t xml:space="preserve">defining feature of sudden death is its unexpected nature, rather than the rapidity with </w:t>
      </w:r>
      <w:r w:rsidR="00297C4E">
        <w:rPr>
          <w:rFonts w:ascii="Times New Roman" w:hAnsi="Times New Roman" w:cs="Times New Roman"/>
          <w:sz w:val="21"/>
          <w:szCs w:val="21"/>
        </w:rPr>
        <w:t xml:space="preserve">which </w:t>
      </w:r>
      <w:r w:rsidR="007975FD">
        <w:rPr>
          <w:rFonts w:ascii="Times New Roman" w:hAnsi="Times New Roman" w:cs="Times New Roman"/>
          <w:sz w:val="21"/>
          <w:szCs w:val="21"/>
        </w:rPr>
        <w:t xml:space="preserve">the death </w:t>
      </w:r>
      <w:r w:rsidR="007975FD">
        <w:rPr>
          <w:rFonts w:ascii="Times New Roman" w:hAnsi="Times New Roman" w:cs="Times New Roman"/>
          <w:sz w:val="21"/>
          <w:szCs w:val="21"/>
        </w:rPr>
        <w:lastRenderedPageBreak/>
        <w:t>occur</w:t>
      </w:r>
      <w:r>
        <w:rPr>
          <w:rFonts w:ascii="Times New Roman" w:hAnsi="Times New Roman" w:cs="Times New Roman"/>
          <w:sz w:val="21"/>
          <w:szCs w:val="21"/>
        </w:rPr>
        <w:t>s</w:t>
      </w:r>
      <w:r w:rsidR="007975FD">
        <w:rPr>
          <w:rFonts w:ascii="Times New Roman" w:hAnsi="Times New Roman" w:cs="Times New Roman"/>
          <w:sz w:val="21"/>
          <w:szCs w:val="21"/>
        </w:rPr>
        <w:t>.</w:t>
      </w:r>
      <w:r>
        <w:rPr>
          <w:rFonts w:ascii="Times New Roman" w:hAnsi="Times New Roman" w:cs="Times New Roman"/>
          <w:sz w:val="21"/>
          <w:szCs w:val="21"/>
          <w:vertAlign w:val="superscript"/>
        </w:rPr>
        <w:t>1</w:t>
      </w:r>
      <w:r w:rsidR="0074248A">
        <w:rPr>
          <w:rFonts w:ascii="Times New Roman" w:hAnsi="Times New Roman" w:cs="Times New Roman"/>
          <w:sz w:val="21"/>
          <w:szCs w:val="21"/>
        </w:rPr>
        <w:t xml:space="preserve"> </w:t>
      </w:r>
      <w:r w:rsidR="007975FD">
        <w:rPr>
          <w:rFonts w:ascii="Times New Roman" w:hAnsi="Times New Roman" w:cs="Times New Roman"/>
          <w:sz w:val="21"/>
          <w:szCs w:val="21"/>
        </w:rPr>
        <w:t>Sudden deaths accounts for approximately 10% of all deaths</w:t>
      </w:r>
      <w:r w:rsidR="00772294">
        <w:rPr>
          <w:rFonts w:ascii="Times New Roman" w:hAnsi="Times New Roman" w:cs="Times New Roman"/>
          <w:sz w:val="21"/>
          <w:szCs w:val="21"/>
        </w:rPr>
        <w:t>,</w:t>
      </w:r>
      <w:r w:rsidR="00F60C6D" w:rsidRPr="00772294">
        <w:rPr>
          <w:rFonts w:ascii="Times New Roman" w:hAnsi="Times New Roman" w:cs="Times New Roman"/>
          <w:sz w:val="21"/>
          <w:szCs w:val="21"/>
          <w:vertAlign w:val="superscript"/>
        </w:rPr>
        <w:t>1</w:t>
      </w:r>
      <w:r w:rsidR="00F60C6D" w:rsidRPr="00772294">
        <w:rPr>
          <w:rFonts w:ascii="Times New Roman" w:hAnsi="Times New Roman" w:cs="Times New Roman"/>
          <w:sz w:val="21"/>
          <w:szCs w:val="21"/>
        </w:rPr>
        <w:t xml:space="preserve"> </w:t>
      </w:r>
      <w:r>
        <w:rPr>
          <w:rFonts w:ascii="Times New Roman" w:hAnsi="Times New Roman" w:cs="Times New Roman"/>
          <w:sz w:val="21"/>
          <w:szCs w:val="21"/>
        </w:rPr>
        <w:t>however,</w:t>
      </w:r>
      <w:r w:rsidR="00772294" w:rsidRPr="00772294">
        <w:rPr>
          <w:rFonts w:ascii="Times New Roman" w:hAnsi="Times New Roman" w:cs="Times New Roman"/>
          <w:sz w:val="21"/>
          <w:szCs w:val="21"/>
        </w:rPr>
        <w:t xml:space="preserve"> its exact global burden is difficult to quantify because of differences in definition, death certification and autopsy practices.</w:t>
      </w:r>
      <w:r w:rsidR="00772294">
        <w:rPr>
          <w:rFonts w:ascii="Times New Roman" w:hAnsi="Times New Roman" w:cs="Times New Roman"/>
          <w:sz w:val="21"/>
          <w:szCs w:val="21"/>
        </w:rPr>
        <w:t xml:space="preserve"> </w:t>
      </w:r>
      <w:r w:rsidR="00667EFE">
        <w:rPr>
          <w:rFonts w:ascii="Times New Roman" w:hAnsi="Times New Roman" w:cs="Times New Roman"/>
          <w:sz w:val="21"/>
          <w:szCs w:val="21"/>
        </w:rPr>
        <w:t xml:space="preserve">In India too, a reliable nationwide estimate of sudden death is lacking. Studies conducted in different institutes </w:t>
      </w:r>
      <w:r w:rsidR="00297C4E">
        <w:rPr>
          <w:rFonts w:ascii="Times New Roman" w:hAnsi="Times New Roman" w:cs="Times New Roman"/>
          <w:sz w:val="21"/>
          <w:szCs w:val="21"/>
        </w:rPr>
        <w:t>have shown that t</w:t>
      </w:r>
      <w:r w:rsidR="00772294" w:rsidRPr="00A85BE3">
        <w:rPr>
          <w:rFonts w:ascii="Times New Roman" w:hAnsi="Times New Roman" w:cs="Times New Roman"/>
          <w:sz w:val="21"/>
          <w:szCs w:val="21"/>
        </w:rPr>
        <w:t>he majority of sudden unexpected deaths are caused by underlying cardiovascular disease, most commonly secondary to coronary artery disease.</w:t>
      </w:r>
      <w:r w:rsidR="00772294">
        <w:rPr>
          <w:rFonts w:ascii="Times New Roman" w:hAnsi="Times New Roman" w:cs="Times New Roman"/>
          <w:sz w:val="21"/>
          <w:szCs w:val="21"/>
        </w:rPr>
        <w:t xml:space="preserve"> </w:t>
      </w:r>
    </w:p>
    <w:p w14:paraId="5B964458" w14:textId="3782DE6E" w:rsidR="00937C1A" w:rsidRPr="007975FD" w:rsidRDefault="00937C1A" w:rsidP="00937C1A">
      <w:pPr>
        <w:spacing w:line="480" w:lineRule="auto"/>
        <w:jc w:val="both"/>
        <w:rPr>
          <w:rFonts w:ascii="Times New Roman" w:hAnsi="Times New Roman" w:cs="Times New Roman"/>
          <w:sz w:val="21"/>
          <w:szCs w:val="21"/>
          <w:vertAlign w:val="superscript"/>
        </w:rPr>
      </w:pPr>
      <w:r w:rsidRPr="00A85BE3">
        <w:rPr>
          <w:rFonts w:ascii="Times New Roman" w:hAnsi="Times New Roman" w:cs="Times New Roman"/>
          <w:sz w:val="21"/>
          <w:szCs w:val="21"/>
        </w:rPr>
        <w:t xml:space="preserve">The </w:t>
      </w:r>
      <w:r w:rsidR="007975FD">
        <w:rPr>
          <w:rFonts w:ascii="Times New Roman" w:hAnsi="Times New Roman" w:cs="Times New Roman"/>
          <w:sz w:val="21"/>
          <w:szCs w:val="21"/>
        </w:rPr>
        <w:t>unanticipated</w:t>
      </w:r>
      <w:r w:rsidRPr="00A85BE3">
        <w:rPr>
          <w:rFonts w:ascii="Times New Roman" w:hAnsi="Times New Roman" w:cs="Times New Roman"/>
          <w:sz w:val="21"/>
          <w:szCs w:val="21"/>
        </w:rPr>
        <w:t xml:space="preserve"> death of a seemingly healthy person is a devastating event for the next of kin and the community at large. Doubts and suspicion naturally arise when the cause of death is not immediately obvious to </w:t>
      </w:r>
      <w:r w:rsidR="00CD451C">
        <w:rPr>
          <w:rFonts w:ascii="Times New Roman" w:hAnsi="Times New Roman" w:cs="Times New Roman"/>
          <w:sz w:val="21"/>
          <w:szCs w:val="21"/>
        </w:rPr>
        <w:t>the</w:t>
      </w:r>
      <w:r w:rsidRPr="00A85BE3">
        <w:rPr>
          <w:rFonts w:ascii="Times New Roman" w:hAnsi="Times New Roman" w:cs="Times New Roman"/>
          <w:sz w:val="21"/>
          <w:szCs w:val="21"/>
        </w:rPr>
        <w:t xml:space="preserve"> layperson. A comprehensive postmortem examination in such cases provides crucial information regarding the cause and manner of death, thereby helping to </w:t>
      </w:r>
      <w:r w:rsidR="00297C4E">
        <w:rPr>
          <w:rFonts w:ascii="Times New Roman" w:hAnsi="Times New Roman" w:cs="Times New Roman"/>
          <w:sz w:val="21"/>
          <w:szCs w:val="21"/>
        </w:rPr>
        <w:t xml:space="preserve">identify or </w:t>
      </w:r>
      <w:r w:rsidRPr="00A85BE3">
        <w:rPr>
          <w:rFonts w:ascii="Times New Roman" w:hAnsi="Times New Roman" w:cs="Times New Roman"/>
          <w:sz w:val="21"/>
          <w:szCs w:val="21"/>
        </w:rPr>
        <w:t>exclude unnatural causes</w:t>
      </w:r>
      <w:r w:rsidR="00667EFE">
        <w:rPr>
          <w:rFonts w:ascii="Times New Roman" w:hAnsi="Times New Roman" w:cs="Times New Roman"/>
          <w:sz w:val="21"/>
          <w:szCs w:val="21"/>
        </w:rPr>
        <w:t xml:space="preserve"> </w:t>
      </w:r>
      <w:r w:rsidR="00297C4E">
        <w:rPr>
          <w:rFonts w:ascii="Times New Roman" w:hAnsi="Times New Roman" w:cs="Times New Roman"/>
          <w:sz w:val="21"/>
          <w:szCs w:val="21"/>
        </w:rPr>
        <w:t>and providing</w:t>
      </w:r>
      <w:r w:rsidR="00667EFE">
        <w:rPr>
          <w:rFonts w:ascii="Times New Roman" w:hAnsi="Times New Roman" w:cs="Times New Roman"/>
          <w:sz w:val="21"/>
          <w:szCs w:val="21"/>
        </w:rPr>
        <w:t xml:space="preserve"> closure to the grieving family.</w:t>
      </w:r>
      <w:r w:rsidRPr="00A85BE3">
        <w:rPr>
          <w:rFonts w:ascii="Times New Roman" w:hAnsi="Times New Roman" w:cs="Times New Roman"/>
          <w:sz w:val="21"/>
          <w:szCs w:val="21"/>
        </w:rPr>
        <w:t xml:space="preserve"> </w:t>
      </w:r>
    </w:p>
    <w:p w14:paraId="2EC8D8C9" w14:textId="2D4D0451" w:rsidR="00937C1A" w:rsidRPr="00A85BE3" w:rsidRDefault="005E1ED2" w:rsidP="00937C1A">
      <w:pPr>
        <w:spacing w:line="480" w:lineRule="auto"/>
        <w:jc w:val="both"/>
        <w:rPr>
          <w:rFonts w:ascii="Times New Roman" w:hAnsi="Times New Roman" w:cs="Times New Roman"/>
          <w:b/>
          <w:bCs/>
          <w:sz w:val="21"/>
          <w:szCs w:val="21"/>
        </w:rPr>
      </w:pPr>
      <w:r w:rsidRPr="00A85BE3">
        <w:rPr>
          <w:rFonts w:ascii="Times New Roman" w:hAnsi="Times New Roman" w:cs="Times New Roman"/>
          <w:b/>
          <w:bCs/>
          <w:sz w:val="21"/>
          <w:szCs w:val="21"/>
        </w:rPr>
        <w:t>MATERIALS AND METHODS</w:t>
      </w:r>
    </w:p>
    <w:p w14:paraId="6A315150" w14:textId="3D4E4C03"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This retrospective study spanned a five-year period from 1 January 2021 to 31 December 2025. The data used for the study were retrieved from postmortem records, police inquest reports, histopathological reports, and relevant medical records available in the departmental archive of </w:t>
      </w:r>
      <w:r w:rsidR="007965A9">
        <w:rPr>
          <w:rFonts w:ascii="Times New Roman" w:hAnsi="Times New Roman" w:cs="Times New Roman"/>
          <w:sz w:val="21"/>
          <w:szCs w:val="21"/>
        </w:rPr>
        <w:t>a</w:t>
      </w:r>
      <w:r w:rsidRPr="00A85BE3">
        <w:rPr>
          <w:rFonts w:ascii="Times New Roman" w:hAnsi="Times New Roman" w:cs="Times New Roman"/>
          <w:sz w:val="21"/>
          <w:szCs w:val="21"/>
        </w:rPr>
        <w:t xml:space="preserve"> tertiary care institute.</w:t>
      </w:r>
    </w:p>
    <w:p w14:paraId="0109500B" w14:textId="63741F2A"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All cases presenting as sudden natural deaths within the study period were included. Conversely, homicidal, suicidal, accidental, or otherwise unnatural deaths were excluded from the study, as were highly decomposed or unidentified bodies. The retrieved data were compiled using Microsoft Excel 2019, and the final findings are presented using descriptive statistics, tabular formats, and narrative summaries.</w:t>
      </w:r>
      <w:r w:rsidR="003A3F9E">
        <w:rPr>
          <w:rFonts w:ascii="Times New Roman" w:hAnsi="Times New Roman" w:cs="Times New Roman"/>
          <w:sz w:val="21"/>
          <w:szCs w:val="21"/>
        </w:rPr>
        <w:t xml:space="preserve"> Ethical clearance was </w:t>
      </w:r>
      <w:r w:rsidR="00CC0117">
        <w:rPr>
          <w:rFonts w:ascii="Times New Roman" w:hAnsi="Times New Roman" w:cs="Times New Roman"/>
          <w:sz w:val="21"/>
          <w:szCs w:val="21"/>
        </w:rPr>
        <w:t>granted by</w:t>
      </w:r>
      <w:r w:rsidR="003A3F9E">
        <w:rPr>
          <w:rFonts w:ascii="Times New Roman" w:hAnsi="Times New Roman" w:cs="Times New Roman"/>
          <w:sz w:val="21"/>
          <w:szCs w:val="21"/>
        </w:rPr>
        <w:t xml:space="preserve"> the Institutional Ethics Committee </w:t>
      </w:r>
      <w:r w:rsidR="007965A9">
        <w:rPr>
          <w:rFonts w:ascii="Times New Roman" w:hAnsi="Times New Roman" w:cs="Times New Roman"/>
          <w:sz w:val="21"/>
          <w:szCs w:val="21"/>
        </w:rPr>
        <w:t xml:space="preserve">of the institute </w:t>
      </w:r>
      <w:r w:rsidR="006C51F3">
        <w:rPr>
          <w:rFonts w:ascii="Times New Roman" w:hAnsi="Times New Roman" w:cs="Times New Roman"/>
          <w:sz w:val="21"/>
          <w:szCs w:val="21"/>
        </w:rPr>
        <w:t>vide Letter No. Ac/03/IEC/JNIMS/2018-PGT dated 25 July 2026.</w:t>
      </w:r>
    </w:p>
    <w:p w14:paraId="5D5071A3" w14:textId="080DDDF9" w:rsidR="00937C1A" w:rsidRPr="00A85BE3" w:rsidRDefault="00A85BE3" w:rsidP="00937C1A">
      <w:pPr>
        <w:spacing w:line="480" w:lineRule="auto"/>
        <w:jc w:val="both"/>
        <w:rPr>
          <w:rFonts w:ascii="Times New Roman" w:hAnsi="Times New Roman" w:cs="Times New Roman"/>
          <w:b/>
          <w:bCs/>
          <w:sz w:val="21"/>
          <w:szCs w:val="21"/>
        </w:rPr>
      </w:pPr>
      <w:r w:rsidRPr="00A85BE3">
        <w:rPr>
          <w:rFonts w:ascii="Times New Roman" w:hAnsi="Times New Roman" w:cs="Times New Roman"/>
          <w:b/>
          <w:bCs/>
          <w:sz w:val="21"/>
          <w:szCs w:val="21"/>
        </w:rPr>
        <w:t>RESULTS</w:t>
      </w:r>
    </w:p>
    <w:p w14:paraId="315E85C4" w14:textId="643C3AD4" w:rsidR="00BE04FE"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During the five-year study period, 990 medicolegal autopsies were conducted at the institute. Among these, 109 cases met the criteria for sudden natural death, accounting for 11.0% of the total autopsy volume. The </w:t>
      </w:r>
      <w:r w:rsidR="00B20FEC">
        <w:rPr>
          <w:rFonts w:ascii="Times New Roman" w:hAnsi="Times New Roman" w:cs="Times New Roman"/>
          <w:sz w:val="21"/>
          <w:szCs w:val="21"/>
        </w:rPr>
        <w:t>victims</w:t>
      </w:r>
      <w:r w:rsidRPr="00A85BE3">
        <w:rPr>
          <w:rFonts w:ascii="Times New Roman" w:hAnsi="Times New Roman" w:cs="Times New Roman"/>
          <w:sz w:val="21"/>
          <w:szCs w:val="21"/>
        </w:rPr>
        <w:t xml:space="preserve"> comprised </w:t>
      </w:r>
      <w:r w:rsidR="00B20FEC">
        <w:rPr>
          <w:rFonts w:ascii="Times New Roman" w:hAnsi="Times New Roman" w:cs="Times New Roman"/>
          <w:sz w:val="21"/>
          <w:szCs w:val="21"/>
        </w:rPr>
        <w:t xml:space="preserve">of </w:t>
      </w:r>
      <w:r w:rsidRPr="00A85BE3">
        <w:rPr>
          <w:rFonts w:ascii="Times New Roman" w:hAnsi="Times New Roman" w:cs="Times New Roman"/>
          <w:sz w:val="21"/>
          <w:szCs w:val="21"/>
        </w:rPr>
        <w:t>103 males (94.5%) and 6 females (5.5%)</w:t>
      </w:r>
      <w:r w:rsidR="00BE04FE">
        <w:rPr>
          <w:rFonts w:ascii="Times New Roman" w:hAnsi="Times New Roman" w:cs="Times New Roman"/>
          <w:sz w:val="21"/>
          <w:szCs w:val="21"/>
        </w:rPr>
        <w:t xml:space="preserve"> as shown in Fig</w:t>
      </w:r>
      <w:r w:rsidR="006D12AB">
        <w:rPr>
          <w:rFonts w:ascii="Times New Roman" w:hAnsi="Times New Roman" w:cs="Times New Roman"/>
          <w:sz w:val="21"/>
          <w:szCs w:val="21"/>
        </w:rPr>
        <w:t xml:space="preserve">ure </w:t>
      </w:r>
      <w:r w:rsidR="00BE04FE">
        <w:rPr>
          <w:rFonts w:ascii="Times New Roman" w:hAnsi="Times New Roman" w:cs="Times New Roman"/>
          <w:sz w:val="21"/>
          <w:szCs w:val="21"/>
        </w:rPr>
        <w:t>1.</w:t>
      </w:r>
    </w:p>
    <w:p w14:paraId="135C9DF9" w14:textId="237D5690" w:rsidR="006D12AB"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The majority of cases were concentrated between the ages of 30 and 60 years: 33 victims (30.3%) were in the &gt;50–60 years age group, 31 victims (28.4%) were in the &gt;40–50 years age group,</w:t>
      </w:r>
      <w:r w:rsidR="007A0F04">
        <w:rPr>
          <w:rFonts w:ascii="Times New Roman" w:hAnsi="Times New Roman" w:cs="Times New Roman"/>
          <w:sz w:val="21"/>
          <w:szCs w:val="21"/>
        </w:rPr>
        <w:t xml:space="preserve"> and</w:t>
      </w:r>
      <w:r w:rsidRPr="00A85BE3">
        <w:rPr>
          <w:rFonts w:ascii="Times New Roman" w:hAnsi="Times New Roman" w:cs="Times New Roman"/>
          <w:sz w:val="21"/>
          <w:szCs w:val="21"/>
        </w:rPr>
        <w:t xml:space="preserve"> 26 victims (23.9%) were in the &gt;30–40 years age group. Additionally,</w:t>
      </w:r>
      <w:r w:rsidR="00847E43" w:rsidRPr="00847E43">
        <w:rPr>
          <w:rFonts w:ascii="Times New Roman" w:hAnsi="Times New Roman" w:cs="Times New Roman"/>
          <w:sz w:val="21"/>
          <w:szCs w:val="21"/>
        </w:rPr>
        <w:t xml:space="preserve"> </w:t>
      </w:r>
      <w:r w:rsidR="00847E43">
        <w:rPr>
          <w:rFonts w:ascii="Times New Roman" w:hAnsi="Times New Roman" w:cs="Times New Roman"/>
          <w:sz w:val="21"/>
          <w:szCs w:val="21"/>
        </w:rPr>
        <w:t>15 victims (13.7%) were in the &gt;20-30 years age group</w:t>
      </w:r>
      <w:r w:rsidR="00847E43">
        <w:rPr>
          <w:rFonts w:ascii="Times New Roman" w:hAnsi="Times New Roman" w:cs="Times New Roman"/>
          <w:sz w:val="21"/>
          <w:szCs w:val="21"/>
        </w:rPr>
        <w:t>,</w:t>
      </w:r>
      <w:r w:rsidRPr="00A85BE3">
        <w:rPr>
          <w:rFonts w:ascii="Times New Roman" w:hAnsi="Times New Roman" w:cs="Times New Roman"/>
          <w:sz w:val="21"/>
          <w:szCs w:val="21"/>
        </w:rPr>
        <w:t xml:space="preserve"> </w:t>
      </w:r>
      <w:r w:rsidRPr="00A85BE3">
        <w:rPr>
          <w:rFonts w:ascii="Times New Roman" w:hAnsi="Times New Roman" w:cs="Times New Roman"/>
          <w:sz w:val="21"/>
          <w:szCs w:val="21"/>
        </w:rPr>
        <w:lastRenderedPageBreak/>
        <w:t xml:space="preserve">3 victims (2.8%) belonged to the &gt;60–70 years age group, and 1 </w:t>
      </w:r>
      <w:r w:rsidR="007965A9">
        <w:rPr>
          <w:rFonts w:ascii="Times New Roman" w:hAnsi="Times New Roman" w:cs="Times New Roman"/>
          <w:sz w:val="21"/>
          <w:szCs w:val="21"/>
        </w:rPr>
        <w:t>victim</w:t>
      </w:r>
      <w:r w:rsidRPr="00A85BE3">
        <w:rPr>
          <w:rFonts w:ascii="Times New Roman" w:hAnsi="Times New Roman" w:cs="Times New Roman"/>
          <w:sz w:val="21"/>
          <w:szCs w:val="21"/>
        </w:rPr>
        <w:t xml:space="preserve"> (0.9%) was recorded in the &gt;70–80 years age group</w:t>
      </w:r>
      <w:r w:rsidR="00BE04FE">
        <w:rPr>
          <w:rFonts w:ascii="Times New Roman" w:hAnsi="Times New Roman" w:cs="Times New Roman"/>
          <w:sz w:val="21"/>
          <w:szCs w:val="21"/>
        </w:rPr>
        <w:t xml:space="preserve"> as shown in Fig</w:t>
      </w:r>
      <w:r w:rsidR="006D12AB">
        <w:rPr>
          <w:rFonts w:ascii="Times New Roman" w:hAnsi="Times New Roman" w:cs="Times New Roman"/>
          <w:sz w:val="21"/>
          <w:szCs w:val="21"/>
        </w:rPr>
        <w:t>ure</w:t>
      </w:r>
      <w:r w:rsidR="00BE04FE">
        <w:rPr>
          <w:rFonts w:ascii="Times New Roman" w:hAnsi="Times New Roman" w:cs="Times New Roman"/>
          <w:sz w:val="21"/>
          <w:szCs w:val="21"/>
        </w:rPr>
        <w:t xml:space="preserve"> 2.</w:t>
      </w:r>
    </w:p>
    <w:p w14:paraId="7F16C559" w14:textId="77777777"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Cardiovascular diseases accounted for 70 of the 109 sudden natural deaths (64.2%). Within this category, 56 deaths were caused by coronary artery disease, representing 80.0% of all cardiovascular deaths and 51.4% of all sudden natural deaths in the study. Other cardiovascular findings included hypertrophic cardiomyopathy (n = 4), congestive heart failure (n = 3), dilated cardiomyopathy (n = 2), myocarditis (n = 2), left ventricular failure (n = 1), right ventricular failure (n = 1), and cardiac tamponade (n = 1).</w:t>
      </w:r>
    </w:p>
    <w:p w14:paraId="279DF5EC" w14:textId="77777777"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Fourteen deaths were caused by diseases of the gastrointestinal system (12.8% of all sudden natural deaths), comprising acute pancreatitis (n = 9), liver cirrhosis (n = 4), and obstructive haemorrhagic necrosis of the intestine (n = 1).</w:t>
      </w:r>
    </w:p>
    <w:p w14:paraId="71F02BAF" w14:textId="77777777"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Respiratory system pathology led to 13 deaths, accounting for 11.9% of all sudden natural deaths. These included acute pneumonia (n = 6), acute respiratory distress syndrome (ARDS) (n = 3), diffuse alveolar damage (n = 2), interstitial pneumonitis (n = 1), and pulmonary embolism (n = 1).</w:t>
      </w:r>
    </w:p>
    <w:p w14:paraId="2D89E8B8" w14:textId="4A1D8B21" w:rsidR="00AE04D1"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Central nervous system pathology accounted for 12 deaths (11.0% of all sudden natural deaths). These cases included subarachnoid haemorrhage (n = 5), intracerebral haemorrhage (n = 3), cerebellar haemorrhage (n = 2), meningoencephalitis (n = 1), and intraventricular haemorrhage (n = 1).</w:t>
      </w:r>
      <w:r w:rsidR="00AE04D1">
        <w:rPr>
          <w:rFonts w:ascii="Times New Roman" w:hAnsi="Times New Roman" w:cs="Times New Roman"/>
          <w:sz w:val="21"/>
          <w:szCs w:val="21"/>
        </w:rPr>
        <w:t xml:space="preserve"> The distribution of cases according to the organ systems is highlighted in Figure 3 and Table 1.</w:t>
      </w:r>
    </w:p>
    <w:p w14:paraId="22935A40" w14:textId="5BF5D1B1" w:rsidR="00937C1A" w:rsidRPr="00A85BE3" w:rsidRDefault="00A85BE3" w:rsidP="00937C1A">
      <w:pPr>
        <w:spacing w:line="480" w:lineRule="auto"/>
        <w:jc w:val="both"/>
        <w:rPr>
          <w:rFonts w:ascii="Times New Roman" w:hAnsi="Times New Roman" w:cs="Times New Roman"/>
          <w:b/>
          <w:bCs/>
          <w:sz w:val="21"/>
          <w:szCs w:val="21"/>
        </w:rPr>
      </w:pPr>
      <w:r w:rsidRPr="00A85BE3">
        <w:rPr>
          <w:rFonts w:ascii="Times New Roman" w:hAnsi="Times New Roman" w:cs="Times New Roman"/>
          <w:b/>
          <w:bCs/>
          <w:sz w:val="21"/>
          <w:szCs w:val="21"/>
        </w:rPr>
        <w:t>DISCUSSION</w:t>
      </w:r>
    </w:p>
    <w:p w14:paraId="09FA0B57" w14:textId="05E1806C"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Sudden natural deaths accounted for 11.0% of the total autopsies performed during the study period. The proportion of sudden natural deaths varies widely across different geographic regions and local demographics. In a study conducted by Mohan A et al.,</w:t>
      </w:r>
      <w:r w:rsidR="002278E1">
        <w:rPr>
          <w:rFonts w:ascii="Times New Roman" w:hAnsi="Times New Roman" w:cs="Times New Roman"/>
          <w:sz w:val="21"/>
          <w:szCs w:val="21"/>
          <w:vertAlign w:val="superscript"/>
        </w:rPr>
        <w:t>2</w:t>
      </w:r>
      <w:r w:rsidRPr="00A85BE3">
        <w:rPr>
          <w:rFonts w:ascii="Times New Roman" w:hAnsi="Times New Roman" w:cs="Times New Roman"/>
          <w:sz w:val="21"/>
          <w:szCs w:val="21"/>
        </w:rPr>
        <w:t xml:space="preserve"> sudden natural deaths accounted for 12.5%, whereas the proportion was as high as 21.0% in the study reported by Bhagora LR et al.</w:t>
      </w:r>
      <w:r w:rsidR="002278E1">
        <w:rPr>
          <w:rFonts w:ascii="Times New Roman" w:hAnsi="Times New Roman" w:cs="Times New Roman"/>
          <w:sz w:val="21"/>
          <w:szCs w:val="21"/>
          <w:vertAlign w:val="superscript"/>
        </w:rPr>
        <w:t>3</w:t>
      </w:r>
      <w:r w:rsidRPr="00A85BE3">
        <w:rPr>
          <w:rFonts w:ascii="Times New Roman" w:hAnsi="Times New Roman" w:cs="Times New Roman"/>
          <w:sz w:val="21"/>
          <w:szCs w:val="21"/>
        </w:rPr>
        <w:t xml:space="preserve"> Male victims accounted for 94.5% of the cases in our study. This male predominance is a consistent finding reported by several other authors.</w:t>
      </w:r>
    </w:p>
    <w:p w14:paraId="5891C406" w14:textId="2EBAEE50"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Regarding age distribution, the &gt;50–60 years age group showed the highest mortality, with 33 victims, followed closely by the &gt;40–50 years age group (n = 31) and the &gt;30–40 years age group (n = 26). While our study showed a relatively older age distribution, other studies have reported the most affected age group </w:t>
      </w:r>
      <w:r w:rsidRPr="00A85BE3">
        <w:rPr>
          <w:rFonts w:ascii="Times New Roman" w:hAnsi="Times New Roman" w:cs="Times New Roman"/>
          <w:sz w:val="21"/>
          <w:szCs w:val="21"/>
        </w:rPr>
        <w:lastRenderedPageBreak/>
        <w:t>to be 30–40 years or 40–50 years. The shift in peak age observed in the present study should be interpreted cautiously. Although a definitive explanation would require broader epidemiological investigation, several possible factors may be involved.</w:t>
      </w:r>
    </w:p>
    <w:p w14:paraId="6B19F597" w14:textId="77777777"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One possible explanation is the increasing health awareness among younger populations. Public health campaigns, digital media exposure, and greater attention to fitness and early screening may contribute to earlier health-seeking behaviour and better control of risk factors in younger adults. At the same time, improved access to preventive healthcare services and occupational screening programmes may also contribute to this pattern. However, these explanations remain speculative and should be interpreted as hypotheses rather than established conclusions.</w:t>
      </w:r>
    </w:p>
    <w:p w14:paraId="5DEF92C5" w14:textId="11FEF1CF"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Cardiovascular diseases accounted for 64.2% of deaths in our series. Various studies have consistently shown that cardiovascular disease remains the leading cause of sudden unexpected natural death. In the studies by Dayananda R et al.</w:t>
      </w:r>
      <w:r w:rsidR="002278E1">
        <w:rPr>
          <w:rFonts w:ascii="Times New Roman" w:hAnsi="Times New Roman" w:cs="Times New Roman"/>
          <w:sz w:val="21"/>
          <w:szCs w:val="21"/>
          <w:vertAlign w:val="superscript"/>
        </w:rPr>
        <w:t>4</w:t>
      </w:r>
      <w:r w:rsidRPr="00A85BE3">
        <w:rPr>
          <w:rFonts w:ascii="Times New Roman" w:hAnsi="Times New Roman" w:cs="Times New Roman"/>
          <w:sz w:val="21"/>
          <w:szCs w:val="21"/>
        </w:rPr>
        <w:t xml:space="preserve"> and Surkar BA et al.,</w:t>
      </w:r>
      <w:r w:rsidR="002278E1">
        <w:rPr>
          <w:rFonts w:ascii="Times New Roman" w:hAnsi="Times New Roman" w:cs="Times New Roman"/>
          <w:sz w:val="21"/>
          <w:szCs w:val="21"/>
          <w:vertAlign w:val="superscript"/>
        </w:rPr>
        <w:t>5</w:t>
      </w:r>
      <w:r w:rsidRPr="00A85BE3">
        <w:rPr>
          <w:rFonts w:ascii="Times New Roman" w:hAnsi="Times New Roman" w:cs="Times New Roman"/>
          <w:sz w:val="21"/>
          <w:szCs w:val="21"/>
        </w:rPr>
        <w:t xml:space="preserve"> cardiovascular deaths accounted for 63.0% and 64.0% of cases, respectively, which is comparable to our findings. Among the 70 deaths due to cardiovascular disease, coronary artery disease (CAD) was the largest contributor (n = 56). CAD accounted for 80.0% of all cardiovascular deaths and 51.4% of all sudden natural deaths in this study. This finding is in agreement with Surkar BA et al.,</w:t>
      </w:r>
      <w:r w:rsidR="002278E1">
        <w:rPr>
          <w:rFonts w:ascii="Times New Roman" w:hAnsi="Times New Roman" w:cs="Times New Roman"/>
          <w:sz w:val="21"/>
          <w:szCs w:val="21"/>
          <w:vertAlign w:val="superscript"/>
        </w:rPr>
        <w:t>5</w:t>
      </w:r>
      <w:r w:rsidRPr="00A85BE3">
        <w:rPr>
          <w:rFonts w:ascii="Times New Roman" w:hAnsi="Times New Roman" w:cs="Times New Roman"/>
          <w:sz w:val="21"/>
          <w:szCs w:val="21"/>
        </w:rPr>
        <w:t xml:space="preserve"> where CAD accounted for 79.5% of cardiovascular deaths and 50.8% of all sudden natural deaths.</w:t>
      </w:r>
    </w:p>
    <w:p w14:paraId="4ADE8594" w14:textId="73316E17"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The risk factors for CAD are similar to those for systemic atherosclerosis and include diabetes, hypertension, smoking, alcohol use, and obesity. The baseline risk of CAD is historically higher in men than in women; however, after menopause, the risk in women rises significantly and approaches that of men once the protective effect of oestrogen is lost.</w:t>
      </w:r>
      <w:r w:rsidR="004942F4">
        <w:rPr>
          <w:rFonts w:ascii="Times New Roman" w:hAnsi="Times New Roman" w:cs="Times New Roman"/>
          <w:sz w:val="21"/>
          <w:szCs w:val="21"/>
          <w:vertAlign w:val="superscript"/>
        </w:rPr>
        <w:t>6</w:t>
      </w:r>
      <w:r w:rsidRPr="00A85BE3">
        <w:rPr>
          <w:rFonts w:ascii="Times New Roman" w:hAnsi="Times New Roman" w:cs="Times New Roman"/>
          <w:sz w:val="21"/>
          <w:szCs w:val="21"/>
        </w:rPr>
        <w:t xml:space="preserve"> In addition, psychological stress may worsen the prognosis in individuals with underlying CAD by triggering myocardial ischaemia, arrhythmias, plaque rupture, and sudden coronary thrombosis.</w:t>
      </w:r>
      <w:r w:rsidR="004942F4">
        <w:rPr>
          <w:rFonts w:ascii="Times New Roman" w:hAnsi="Times New Roman" w:cs="Times New Roman"/>
          <w:sz w:val="21"/>
          <w:szCs w:val="21"/>
          <w:vertAlign w:val="superscript"/>
        </w:rPr>
        <w:t>7</w:t>
      </w:r>
      <w:r w:rsidRPr="00A85BE3">
        <w:rPr>
          <w:rFonts w:ascii="Times New Roman" w:hAnsi="Times New Roman" w:cs="Times New Roman"/>
          <w:sz w:val="21"/>
          <w:szCs w:val="21"/>
        </w:rPr>
        <w:t xml:space="preserve"> As sedentary lifestyles, processed diets, and occupational stress have become more common, CAD continues to be </w:t>
      </w:r>
      <w:r w:rsidR="00A634DF">
        <w:rPr>
          <w:rFonts w:ascii="Times New Roman" w:hAnsi="Times New Roman" w:cs="Times New Roman"/>
          <w:sz w:val="21"/>
          <w:szCs w:val="21"/>
        </w:rPr>
        <w:t>a</w:t>
      </w:r>
      <w:r w:rsidRPr="00A85BE3">
        <w:rPr>
          <w:rFonts w:ascii="Times New Roman" w:hAnsi="Times New Roman" w:cs="Times New Roman"/>
          <w:sz w:val="21"/>
          <w:szCs w:val="21"/>
        </w:rPr>
        <w:t xml:space="preserve"> leading cause of mortality worldwide.</w:t>
      </w:r>
    </w:p>
    <w:p w14:paraId="55B75BD3" w14:textId="408F624C"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There were 14 cases of sudden natural death due to diseases of the gastrointestinal system, accounting for 12.8% of all sudden natural deaths in the present study. Acute pancreatitis was the most frequent gastrointestinal disease entity in this category, similar to the findings of Angam G et </w:t>
      </w:r>
      <w:r w:rsidR="00702F39">
        <w:rPr>
          <w:rFonts w:ascii="Times New Roman" w:hAnsi="Times New Roman" w:cs="Times New Roman"/>
          <w:sz w:val="21"/>
          <w:szCs w:val="21"/>
          <w:vertAlign w:val="superscript"/>
        </w:rPr>
        <w:t>8</w:t>
      </w:r>
      <w:r w:rsidRPr="00A85BE3">
        <w:rPr>
          <w:rFonts w:ascii="Times New Roman" w:hAnsi="Times New Roman" w:cs="Times New Roman"/>
          <w:sz w:val="21"/>
          <w:szCs w:val="21"/>
        </w:rPr>
        <w:t xml:space="preserve">. In contrast, studies by Guntheti BK </w:t>
      </w:r>
      <w:r w:rsidR="00702F39">
        <w:rPr>
          <w:rFonts w:ascii="Times New Roman" w:hAnsi="Times New Roman" w:cs="Times New Roman"/>
          <w:sz w:val="21"/>
          <w:szCs w:val="21"/>
        </w:rPr>
        <w:t>et al.</w:t>
      </w:r>
      <w:r w:rsidR="00702F39">
        <w:rPr>
          <w:rFonts w:ascii="Times New Roman" w:hAnsi="Times New Roman" w:cs="Times New Roman"/>
          <w:sz w:val="21"/>
          <w:szCs w:val="21"/>
          <w:vertAlign w:val="superscript"/>
        </w:rPr>
        <w:t>9</w:t>
      </w:r>
      <w:r w:rsidR="00702F39">
        <w:rPr>
          <w:rFonts w:ascii="Times New Roman" w:hAnsi="Times New Roman" w:cs="Times New Roman"/>
          <w:sz w:val="21"/>
          <w:szCs w:val="21"/>
        </w:rPr>
        <w:t xml:space="preserve"> </w:t>
      </w:r>
      <w:r w:rsidRPr="00A85BE3">
        <w:rPr>
          <w:rFonts w:ascii="Times New Roman" w:hAnsi="Times New Roman" w:cs="Times New Roman"/>
          <w:sz w:val="21"/>
          <w:szCs w:val="21"/>
        </w:rPr>
        <w:t>and Surkar BA</w:t>
      </w:r>
      <w:r w:rsidR="00702F39" w:rsidRPr="00702F39">
        <w:rPr>
          <w:rFonts w:ascii="Times New Roman" w:hAnsi="Times New Roman" w:cs="Times New Roman"/>
          <w:sz w:val="21"/>
          <w:szCs w:val="21"/>
          <w:vertAlign w:val="superscript"/>
        </w:rPr>
        <w:t>5</w:t>
      </w:r>
      <w:r w:rsidRPr="00A85BE3">
        <w:rPr>
          <w:rFonts w:ascii="Times New Roman" w:hAnsi="Times New Roman" w:cs="Times New Roman"/>
          <w:sz w:val="21"/>
          <w:szCs w:val="21"/>
        </w:rPr>
        <w:t xml:space="preserve"> et al. reported cirrhosis as the most common gastrointestinal cause.</w:t>
      </w:r>
    </w:p>
    <w:p w14:paraId="764A9E6B" w14:textId="219DAADA"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lastRenderedPageBreak/>
        <w:t>Respiratory system pathology led to 13 deaths, with acute pneumonia being the most common cause. In other studies, pneumonia was also frequently the most common respiratory pathology, although the proportion was higher than in our study in some reports. The closest comparable finding was reported by Ph M et al.</w:t>
      </w:r>
      <w:r w:rsidR="00702F39" w:rsidRPr="00702F39">
        <w:rPr>
          <w:rFonts w:ascii="Times New Roman" w:hAnsi="Times New Roman" w:cs="Times New Roman"/>
          <w:sz w:val="21"/>
          <w:szCs w:val="21"/>
          <w:vertAlign w:val="superscript"/>
        </w:rPr>
        <w:t>10</w:t>
      </w:r>
      <w:r w:rsidRPr="00A85BE3">
        <w:rPr>
          <w:rFonts w:ascii="Times New Roman" w:hAnsi="Times New Roman" w:cs="Times New Roman"/>
          <w:sz w:val="21"/>
          <w:szCs w:val="21"/>
        </w:rPr>
        <w:t>, where pneumonia accounted for 5.7% of all sudden natural deaths. In our study, pneumonia accounted for 5.5% of the total cases. In contrast, Guntheti BK</w:t>
      </w:r>
      <w:r w:rsidR="00702F39">
        <w:rPr>
          <w:rFonts w:ascii="Times New Roman" w:hAnsi="Times New Roman" w:cs="Times New Roman"/>
          <w:sz w:val="21"/>
          <w:szCs w:val="21"/>
          <w:vertAlign w:val="superscript"/>
        </w:rPr>
        <w:t>9</w:t>
      </w:r>
      <w:r w:rsidRPr="00A85BE3">
        <w:rPr>
          <w:rFonts w:ascii="Times New Roman" w:hAnsi="Times New Roman" w:cs="Times New Roman"/>
          <w:sz w:val="21"/>
          <w:szCs w:val="21"/>
        </w:rPr>
        <w:t xml:space="preserve"> et al. and Surkar BA</w:t>
      </w:r>
      <w:r w:rsidR="00702F39">
        <w:rPr>
          <w:rFonts w:ascii="Times New Roman" w:hAnsi="Times New Roman" w:cs="Times New Roman"/>
          <w:sz w:val="21"/>
          <w:szCs w:val="21"/>
          <w:vertAlign w:val="superscript"/>
        </w:rPr>
        <w:t>5</w:t>
      </w:r>
      <w:r w:rsidRPr="00A85BE3">
        <w:rPr>
          <w:rFonts w:ascii="Times New Roman" w:hAnsi="Times New Roman" w:cs="Times New Roman"/>
          <w:sz w:val="21"/>
          <w:szCs w:val="21"/>
        </w:rPr>
        <w:t xml:space="preserve"> et al. reported pneumonia in 14.8% and 16.7% of cases, respectively.</w:t>
      </w:r>
    </w:p>
    <w:p w14:paraId="27AC56E0" w14:textId="52065F68"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There were 12 deaths due to central nervous system pathology, with subarachnoid haemorrhage being the most common finding. In contrast, the studies by Guntheti BK</w:t>
      </w:r>
      <w:r w:rsidR="00702F39">
        <w:rPr>
          <w:rFonts w:ascii="Times New Roman" w:hAnsi="Times New Roman" w:cs="Times New Roman"/>
          <w:sz w:val="21"/>
          <w:szCs w:val="21"/>
          <w:vertAlign w:val="superscript"/>
        </w:rPr>
        <w:t>9</w:t>
      </w:r>
      <w:r w:rsidRPr="00A85BE3">
        <w:rPr>
          <w:rFonts w:ascii="Times New Roman" w:hAnsi="Times New Roman" w:cs="Times New Roman"/>
          <w:sz w:val="21"/>
          <w:szCs w:val="21"/>
        </w:rPr>
        <w:t xml:space="preserve"> and Surkar BA</w:t>
      </w:r>
      <w:r w:rsidR="00702F39">
        <w:rPr>
          <w:rFonts w:ascii="Times New Roman" w:hAnsi="Times New Roman" w:cs="Times New Roman"/>
          <w:sz w:val="21"/>
          <w:szCs w:val="21"/>
          <w:vertAlign w:val="superscript"/>
        </w:rPr>
        <w:t>5</w:t>
      </w:r>
      <w:r w:rsidRPr="00A85BE3">
        <w:rPr>
          <w:rFonts w:ascii="Times New Roman" w:hAnsi="Times New Roman" w:cs="Times New Roman"/>
          <w:sz w:val="21"/>
          <w:szCs w:val="21"/>
        </w:rPr>
        <w:t xml:space="preserve"> et al. reported intracerebral haemorrhage as the most common </w:t>
      </w:r>
      <w:r w:rsidR="00702F39">
        <w:rPr>
          <w:rFonts w:ascii="Times New Roman" w:hAnsi="Times New Roman" w:cs="Times New Roman"/>
          <w:sz w:val="21"/>
          <w:szCs w:val="21"/>
        </w:rPr>
        <w:t>central nervous system</w:t>
      </w:r>
      <w:r w:rsidRPr="00A85BE3">
        <w:rPr>
          <w:rFonts w:ascii="Times New Roman" w:hAnsi="Times New Roman" w:cs="Times New Roman"/>
          <w:sz w:val="21"/>
          <w:szCs w:val="21"/>
        </w:rPr>
        <w:t xml:space="preserve"> pathology.</w:t>
      </w:r>
    </w:p>
    <w:p w14:paraId="198D8759" w14:textId="429B1C71"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The overall distribution pattern by organ system in our study resembles that of Ph M et al.</w:t>
      </w:r>
      <w:r w:rsidR="00702F39">
        <w:rPr>
          <w:rFonts w:ascii="Times New Roman" w:hAnsi="Times New Roman" w:cs="Times New Roman"/>
          <w:sz w:val="21"/>
          <w:szCs w:val="21"/>
          <w:vertAlign w:val="superscript"/>
        </w:rPr>
        <w:t>10</w:t>
      </w:r>
      <w:r w:rsidRPr="00A85BE3">
        <w:rPr>
          <w:rFonts w:ascii="Times New Roman" w:hAnsi="Times New Roman" w:cs="Times New Roman"/>
          <w:sz w:val="21"/>
          <w:szCs w:val="21"/>
        </w:rPr>
        <w:t xml:space="preserve"> and Rathva VK</w:t>
      </w:r>
      <w:r w:rsidR="00702F39">
        <w:rPr>
          <w:rFonts w:ascii="Times New Roman" w:hAnsi="Times New Roman" w:cs="Times New Roman"/>
          <w:sz w:val="21"/>
          <w:szCs w:val="21"/>
          <w:vertAlign w:val="superscript"/>
        </w:rPr>
        <w:t>11</w:t>
      </w:r>
      <w:r w:rsidRPr="00A85BE3">
        <w:rPr>
          <w:rFonts w:ascii="Times New Roman" w:hAnsi="Times New Roman" w:cs="Times New Roman"/>
          <w:sz w:val="21"/>
          <w:szCs w:val="21"/>
        </w:rPr>
        <w:t xml:space="preserve"> et al., where cardiovascular disease was followed in descending order by gastrointestinal, respiratory, and central nervous system pathology.</w:t>
      </w:r>
    </w:p>
    <w:p w14:paraId="658E2F1B" w14:textId="70F67857" w:rsidR="00937C1A" w:rsidRPr="00A85BE3" w:rsidRDefault="00A85BE3" w:rsidP="00937C1A">
      <w:pPr>
        <w:spacing w:line="480" w:lineRule="auto"/>
        <w:jc w:val="both"/>
        <w:rPr>
          <w:rFonts w:ascii="Times New Roman" w:hAnsi="Times New Roman" w:cs="Times New Roman"/>
          <w:b/>
          <w:bCs/>
          <w:sz w:val="21"/>
          <w:szCs w:val="21"/>
        </w:rPr>
      </w:pPr>
      <w:r w:rsidRPr="00A85BE3">
        <w:rPr>
          <w:rFonts w:ascii="Times New Roman" w:hAnsi="Times New Roman" w:cs="Times New Roman"/>
          <w:b/>
          <w:bCs/>
          <w:sz w:val="21"/>
          <w:szCs w:val="21"/>
        </w:rPr>
        <w:t>LIMITATIONS</w:t>
      </w:r>
    </w:p>
    <w:p w14:paraId="1AB20D7B" w14:textId="77777777" w:rsidR="00937C1A" w:rsidRPr="00A85BE3" w:rsidRDefault="00937C1A" w:rsidP="00847E43">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This study has several limitations that should be considered when interpreting the findings:</w:t>
      </w:r>
    </w:p>
    <w:p w14:paraId="3BBBE606" w14:textId="064C85FB" w:rsidR="00937C1A" w:rsidRPr="00A85BE3" w:rsidRDefault="00937C1A" w:rsidP="00847E43">
      <w:pPr>
        <w:spacing w:line="480" w:lineRule="auto"/>
        <w:ind w:left="360"/>
        <w:jc w:val="both"/>
        <w:rPr>
          <w:rFonts w:ascii="Times New Roman" w:hAnsi="Times New Roman" w:cs="Times New Roman"/>
          <w:sz w:val="21"/>
          <w:szCs w:val="21"/>
        </w:rPr>
      </w:pPr>
      <w:r w:rsidRPr="00A85BE3">
        <w:rPr>
          <w:rFonts w:ascii="Times New Roman" w:hAnsi="Times New Roman" w:cs="Times New Roman"/>
          <w:b/>
          <w:bCs/>
          <w:sz w:val="21"/>
          <w:szCs w:val="21"/>
        </w:rPr>
        <w:t>Retrospective design constraints:</w:t>
      </w:r>
      <w:r w:rsidRPr="00A85BE3">
        <w:rPr>
          <w:rFonts w:ascii="Times New Roman" w:hAnsi="Times New Roman" w:cs="Times New Roman"/>
          <w:sz w:val="21"/>
          <w:szCs w:val="21"/>
        </w:rPr>
        <w:t xml:space="preserve"> Because the data were retrieved exclusively from histor</w:t>
      </w:r>
      <w:r w:rsidR="00697015">
        <w:rPr>
          <w:rFonts w:ascii="Times New Roman" w:hAnsi="Times New Roman" w:cs="Times New Roman"/>
          <w:sz w:val="21"/>
          <w:szCs w:val="21"/>
        </w:rPr>
        <w:t>y,</w:t>
      </w:r>
      <w:r w:rsidRPr="00A85BE3">
        <w:rPr>
          <w:rFonts w:ascii="Times New Roman" w:hAnsi="Times New Roman" w:cs="Times New Roman"/>
          <w:sz w:val="21"/>
          <w:szCs w:val="21"/>
        </w:rPr>
        <w:t xml:space="preserve"> medicolegal autopsy registers, police inquest reports, and available departmental records, several important clinical and socio-behavioural variables could not be systematically assessed. Detailed information regarding socio-economic profile, dietary habits, comorbid illnesses, and prior substance use, including smoking and alcohol consumption, was often incomplete or unavailable.</w:t>
      </w:r>
    </w:p>
    <w:p w14:paraId="327452D1" w14:textId="22356B14" w:rsidR="00937C1A" w:rsidRPr="00A85BE3" w:rsidRDefault="00937C1A" w:rsidP="00847E43">
      <w:pPr>
        <w:spacing w:line="480" w:lineRule="auto"/>
        <w:ind w:left="360"/>
        <w:jc w:val="both"/>
        <w:rPr>
          <w:rFonts w:ascii="Times New Roman" w:hAnsi="Times New Roman" w:cs="Times New Roman"/>
          <w:sz w:val="21"/>
          <w:szCs w:val="21"/>
        </w:rPr>
      </w:pPr>
      <w:r w:rsidRPr="00A85BE3">
        <w:rPr>
          <w:rFonts w:ascii="Times New Roman" w:hAnsi="Times New Roman" w:cs="Times New Roman"/>
          <w:b/>
          <w:bCs/>
          <w:sz w:val="21"/>
          <w:szCs w:val="21"/>
        </w:rPr>
        <w:t>Selection bias:</w:t>
      </w:r>
      <w:r w:rsidRPr="00A85BE3">
        <w:rPr>
          <w:rFonts w:ascii="Times New Roman" w:hAnsi="Times New Roman" w:cs="Times New Roman"/>
          <w:sz w:val="21"/>
          <w:szCs w:val="21"/>
        </w:rPr>
        <w:t xml:space="preserve"> The study was derived strictly from medicolegal autopsies at a single tertiary care centre</w:t>
      </w:r>
      <w:r w:rsidR="00697015">
        <w:rPr>
          <w:rFonts w:ascii="Times New Roman" w:hAnsi="Times New Roman" w:cs="Times New Roman"/>
          <w:sz w:val="21"/>
          <w:szCs w:val="21"/>
        </w:rPr>
        <w:t xml:space="preserve"> and does not cover the whole state population.</w:t>
      </w:r>
      <w:r w:rsidRPr="00A85BE3">
        <w:rPr>
          <w:rFonts w:ascii="Times New Roman" w:hAnsi="Times New Roman" w:cs="Times New Roman"/>
          <w:sz w:val="21"/>
          <w:szCs w:val="21"/>
        </w:rPr>
        <w:t xml:space="preserve"> It does not reflect the true community incidence of sudden natural deaths, as many such deaths, particularly those with established clinical histories or those occurring without suspicion of foul play, do not undergo forensic postmortem examination.</w:t>
      </w:r>
    </w:p>
    <w:p w14:paraId="3399DF36" w14:textId="77777777" w:rsidR="00937C1A" w:rsidRPr="00A85BE3" w:rsidRDefault="00937C1A" w:rsidP="00847E43">
      <w:pPr>
        <w:spacing w:line="480" w:lineRule="auto"/>
        <w:ind w:left="360"/>
        <w:jc w:val="both"/>
        <w:rPr>
          <w:rFonts w:ascii="Times New Roman" w:hAnsi="Times New Roman" w:cs="Times New Roman"/>
          <w:sz w:val="21"/>
          <w:szCs w:val="21"/>
        </w:rPr>
      </w:pPr>
      <w:r w:rsidRPr="00A85BE3">
        <w:rPr>
          <w:rFonts w:ascii="Times New Roman" w:hAnsi="Times New Roman" w:cs="Times New Roman"/>
          <w:b/>
          <w:bCs/>
          <w:sz w:val="21"/>
          <w:szCs w:val="21"/>
        </w:rPr>
        <w:t>Generalizability:</w:t>
      </w:r>
      <w:r w:rsidRPr="00A85BE3">
        <w:rPr>
          <w:rFonts w:ascii="Times New Roman" w:hAnsi="Times New Roman" w:cs="Times New Roman"/>
          <w:sz w:val="21"/>
          <w:szCs w:val="21"/>
        </w:rPr>
        <w:t xml:space="preserve"> The institutional nature of this dataset means that the observed disease distribution and demographic trends may not be fully representative of the general population or of other geographic regions.</w:t>
      </w:r>
    </w:p>
    <w:p w14:paraId="3114F8CE" w14:textId="7E759D8A" w:rsidR="00937C1A" w:rsidRPr="00A85BE3" w:rsidRDefault="00A85BE3" w:rsidP="00937C1A">
      <w:pPr>
        <w:spacing w:line="480" w:lineRule="auto"/>
        <w:jc w:val="both"/>
        <w:rPr>
          <w:rFonts w:ascii="Times New Roman" w:hAnsi="Times New Roman" w:cs="Times New Roman"/>
          <w:b/>
          <w:bCs/>
          <w:sz w:val="21"/>
          <w:szCs w:val="21"/>
        </w:rPr>
      </w:pPr>
      <w:r w:rsidRPr="00A85BE3">
        <w:rPr>
          <w:rFonts w:ascii="Times New Roman" w:hAnsi="Times New Roman" w:cs="Times New Roman"/>
          <w:b/>
          <w:bCs/>
          <w:sz w:val="21"/>
          <w:szCs w:val="21"/>
        </w:rPr>
        <w:lastRenderedPageBreak/>
        <w:t>CONCLUSION</w:t>
      </w:r>
    </w:p>
    <w:p w14:paraId="0C99B6AE" w14:textId="11E1336B"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This study highlights the significant institutional burden of sudden unexpected natural deaths at a tertiary care centre, where they accounted for 11.0% of all medicolegal autopsies over a five-year period. The findings show a marked male predominance (94.5%) and identify coronary artery disease as the leading aetiology, responsible for more than half of all recorded cases. Notably, the peak mortality occurred in the sixth decade of life, suggesting a shift toward an older age distribution compared with </w:t>
      </w:r>
      <w:r w:rsidR="00702F39">
        <w:rPr>
          <w:rFonts w:ascii="Times New Roman" w:hAnsi="Times New Roman" w:cs="Times New Roman"/>
          <w:sz w:val="21"/>
          <w:szCs w:val="21"/>
        </w:rPr>
        <w:t>previous</w:t>
      </w:r>
      <w:r w:rsidRPr="00A85BE3">
        <w:rPr>
          <w:rFonts w:ascii="Times New Roman" w:hAnsi="Times New Roman" w:cs="Times New Roman"/>
          <w:sz w:val="21"/>
          <w:szCs w:val="21"/>
        </w:rPr>
        <w:t xml:space="preserve"> regional data.</w:t>
      </w:r>
    </w:p>
    <w:p w14:paraId="0001DB66" w14:textId="77777777"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While this age shift may reflect improved health awareness among younger adults and expanded preventive strategies, underlying cardiovascular disease remains highly lethal. Further prospective studies are needed to monitor changing patterns of sudden natural death in this population.</w:t>
      </w:r>
    </w:p>
    <w:p w14:paraId="624A95A5" w14:textId="121B5CCF" w:rsidR="00937C1A" w:rsidRPr="00A85BE3" w:rsidRDefault="00937C1A" w:rsidP="00937C1A">
      <w:p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These results also emphasi</w:t>
      </w:r>
      <w:r w:rsidR="00702F39">
        <w:rPr>
          <w:rFonts w:ascii="Times New Roman" w:hAnsi="Times New Roman" w:cs="Times New Roman"/>
          <w:sz w:val="21"/>
          <w:szCs w:val="21"/>
        </w:rPr>
        <w:t>s</w:t>
      </w:r>
      <w:r w:rsidRPr="00A85BE3">
        <w:rPr>
          <w:rFonts w:ascii="Times New Roman" w:hAnsi="Times New Roman" w:cs="Times New Roman"/>
          <w:sz w:val="21"/>
          <w:szCs w:val="21"/>
        </w:rPr>
        <w:t>e the need for targeted public health strategies. Policy-makers may use this region-specific profile to improve screening for hypertension and dyslipidaemia, strengthen community awareness programmes, and promote cardioprotective lifestyles. Since many sudden deaths occur outside formal forensic capture, these institutional data provide a useful baseline for regional epidemiological tracking and preventive healthcare planning.</w:t>
      </w:r>
    </w:p>
    <w:p w14:paraId="625BC09E" w14:textId="385CD0B6" w:rsidR="00937C1A" w:rsidRPr="00A85BE3" w:rsidRDefault="00A85BE3" w:rsidP="00937C1A">
      <w:pPr>
        <w:spacing w:line="480" w:lineRule="auto"/>
        <w:jc w:val="both"/>
        <w:rPr>
          <w:rFonts w:ascii="Times New Roman" w:hAnsi="Times New Roman" w:cs="Times New Roman"/>
          <w:b/>
          <w:bCs/>
          <w:sz w:val="21"/>
          <w:szCs w:val="21"/>
        </w:rPr>
      </w:pPr>
      <w:r w:rsidRPr="00A85BE3">
        <w:rPr>
          <w:rFonts w:ascii="Times New Roman" w:hAnsi="Times New Roman" w:cs="Times New Roman"/>
          <w:b/>
          <w:bCs/>
          <w:sz w:val="21"/>
          <w:szCs w:val="21"/>
        </w:rPr>
        <w:t>REFERENCES</w:t>
      </w:r>
    </w:p>
    <w:p w14:paraId="72FA28FA" w14:textId="0A816D8A" w:rsidR="00F60C6D" w:rsidRDefault="00F60C6D" w:rsidP="002278E1">
      <w:pPr>
        <w:numPr>
          <w:ilvl w:val="0"/>
          <w:numId w:val="2"/>
        </w:numPr>
        <w:spacing w:line="480" w:lineRule="auto"/>
        <w:jc w:val="both"/>
        <w:rPr>
          <w:rFonts w:ascii="Times New Roman" w:hAnsi="Times New Roman" w:cs="Times New Roman"/>
          <w:sz w:val="21"/>
          <w:szCs w:val="21"/>
        </w:rPr>
      </w:pPr>
      <w:r w:rsidRPr="00F60C6D">
        <w:rPr>
          <w:rFonts w:ascii="Times New Roman" w:hAnsi="Times New Roman" w:cs="Times New Roman"/>
          <w:sz w:val="21"/>
          <w:szCs w:val="21"/>
        </w:rPr>
        <w:t xml:space="preserve">Reddy KSN. </w:t>
      </w:r>
      <w:r w:rsidRPr="00CC0117">
        <w:rPr>
          <w:rFonts w:ascii="Times New Roman" w:hAnsi="Times New Roman" w:cs="Times New Roman"/>
          <w:sz w:val="21"/>
          <w:szCs w:val="21"/>
        </w:rPr>
        <w:t>The essentials of forensic medicine and toxicology.</w:t>
      </w:r>
      <w:r w:rsidRPr="00F60C6D">
        <w:rPr>
          <w:rFonts w:ascii="Times New Roman" w:hAnsi="Times New Roman" w:cs="Times New Roman"/>
          <w:sz w:val="21"/>
          <w:szCs w:val="21"/>
        </w:rPr>
        <w:t xml:space="preserve"> 36th ed. New Delhi: Jaypee Brothers Medical Publishers; </w:t>
      </w:r>
      <w:r>
        <w:rPr>
          <w:rFonts w:ascii="Times New Roman" w:hAnsi="Times New Roman" w:cs="Times New Roman"/>
          <w:sz w:val="21"/>
          <w:szCs w:val="21"/>
        </w:rPr>
        <w:t>2026</w:t>
      </w:r>
      <w:r w:rsidR="00D8141F">
        <w:rPr>
          <w:rFonts w:ascii="Times New Roman" w:hAnsi="Times New Roman" w:cs="Times New Roman"/>
          <w:sz w:val="21"/>
          <w:szCs w:val="21"/>
        </w:rPr>
        <w:t>:</w:t>
      </w:r>
      <w:r w:rsidRPr="00F60C6D">
        <w:rPr>
          <w:rFonts w:ascii="Times New Roman" w:hAnsi="Times New Roman" w:cs="Times New Roman"/>
          <w:sz w:val="21"/>
          <w:szCs w:val="21"/>
        </w:rPr>
        <w:t>137.</w:t>
      </w:r>
    </w:p>
    <w:p w14:paraId="47F6C519" w14:textId="274D00AA" w:rsidR="002278E1" w:rsidRPr="00A85BE3" w:rsidRDefault="002278E1" w:rsidP="002278E1">
      <w:pPr>
        <w:numPr>
          <w:ilvl w:val="0"/>
          <w:numId w:val="2"/>
        </w:num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Mohan A, Choudhury N, Singha Y, Sharma P, Koiri B, Devi R. Study of sudden natural death: an autopsy based cross sectional study in a tertiary care medical college and hospital of Assam. </w:t>
      </w:r>
      <w:r w:rsidRPr="00CC0117">
        <w:rPr>
          <w:rFonts w:ascii="Times New Roman" w:hAnsi="Times New Roman" w:cs="Times New Roman"/>
          <w:sz w:val="21"/>
          <w:szCs w:val="21"/>
        </w:rPr>
        <w:t xml:space="preserve">Indian J Forensic Med Toxicol. </w:t>
      </w:r>
      <w:r w:rsidRPr="00A85BE3">
        <w:rPr>
          <w:rFonts w:ascii="Times New Roman" w:hAnsi="Times New Roman" w:cs="Times New Roman"/>
          <w:sz w:val="21"/>
          <w:szCs w:val="21"/>
        </w:rPr>
        <w:t xml:space="preserve">2024;18:4–8. </w:t>
      </w:r>
    </w:p>
    <w:p w14:paraId="42E04CAD" w14:textId="77777777" w:rsidR="002278E1" w:rsidRPr="00A85BE3" w:rsidRDefault="002278E1" w:rsidP="002278E1">
      <w:pPr>
        <w:numPr>
          <w:ilvl w:val="0"/>
          <w:numId w:val="2"/>
        </w:num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Bhagora LR, Parmar AP, Parmar DC, Patel TC. Analysis of sudden death cases brought for postmortem examination at Sir T. General Hospital, Bhavnagar. </w:t>
      </w:r>
      <w:r w:rsidRPr="00CC0117">
        <w:rPr>
          <w:rFonts w:ascii="Times New Roman" w:hAnsi="Times New Roman" w:cs="Times New Roman"/>
          <w:sz w:val="21"/>
          <w:szCs w:val="21"/>
        </w:rPr>
        <w:t>J Indian Acad Forensic Med.</w:t>
      </w:r>
      <w:r w:rsidRPr="00A85BE3">
        <w:rPr>
          <w:rFonts w:ascii="Times New Roman" w:hAnsi="Times New Roman" w:cs="Times New Roman"/>
          <w:sz w:val="21"/>
          <w:szCs w:val="21"/>
        </w:rPr>
        <w:t xml:space="preserve"> 2016;38(4):423–425.</w:t>
      </w:r>
    </w:p>
    <w:p w14:paraId="378BF1A2" w14:textId="77777777" w:rsidR="002278E1" w:rsidRPr="00A85BE3" w:rsidRDefault="002278E1" w:rsidP="002278E1">
      <w:pPr>
        <w:numPr>
          <w:ilvl w:val="0"/>
          <w:numId w:val="2"/>
        </w:num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Dayananda R, Pradhan P, Kumar MP. Pattern of sudden natural deaths among autopsies conducted at Mysore Medical College. </w:t>
      </w:r>
      <w:r w:rsidRPr="00CC0117">
        <w:rPr>
          <w:rFonts w:ascii="Times New Roman" w:hAnsi="Times New Roman" w:cs="Times New Roman"/>
          <w:sz w:val="21"/>
          <w:szCs w:val="21"/>
        </w:rPr>
        <w:t>J Indian Acad Forensic Med</w:t>
      </w:r>
      <w:r w:rsidRPr="00A85BE3">
        <w:rPr>
          <w:rFonts w:ascii="Times New Roman" w:hAnsi="Times New Roman" w:cs="Times New Roman"/>
          <w:sz w:val="21"/>
          <w:szCs w:val="21"/>
        </w:rPr>
        <w:t>. 2018;40(2):146–150.</w:t>
      </w:r>
    </w:p>
    <w:p w14:paraId="264558E6" w14:textId="77777777" w:rsidR="002278E1" w:rsidRPr="00A85BE3" w:rsidRDefault="002278E1" w:rsidP="002278E1">
      <w:pPr>
        <w:numPr>
          <w:ilvl w:val="0"/>
          <w:numId w:val="2"/>
        </w:num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lastRenderedPageBreak/>
        <w:t xml:space="preserve">Surkar BA, Bhoi S, Yadav M, Kamble R, Zanjad N. Retrospective study of sudden death in medico-legal autopsies. </w:t>
      </w:r>
      <w:r w:rsidRPr="00CC0117">
        <w:rPr>
          <w:rFonts w:ascii="Times New Roman" w:hAnsi="Times New Roman" w:cs="Times New Roman"/>
          <w:sz w:val="21"/>
          <w:szCs w:val="21"/>
        </w:rPr>
        <w:t>Indian J Forensic Med Toxicol</w:t>
      </w:r>
      <w:r w:rsidRPr="00A85BE3">
        <w:rPr>
          <w:rFonts w:ascii="Times New Roman" w:hAnsi="Times New Roman" w:cs="Times New Roman"/>
          <w:sz w:val="21"/>
          <w:szCs w:val="21"/>
        </w:rPr>
        <w:t>. 2026;20(2):40–44. doi:10.37506/v4k7k972</w:t>
      </w:r>
    </w:p>
    <w:p w14:paraId="5CE5459B" w14:textId="08896481" w:rsidR="00CC0117" w:rsidRDefault="004942F4" w:rsidP="00CC0117">
      <w:pPr>
        <w:pStyle w:val="my-2"/>
        <w:numPr>
          <w:ilvl w:val="0"/>
          <w:numId w:val="2"/>
        </w:numPr>
        <w:spacing w:line="480" w:lineRule="auto"/>
      </w:pPr>
      <w:r w:rsidRPr="009A2DF0">
        <w:rPr>
          <w:sz w:val="21"/>
          <w:szCs w:val="21"/>
        </w:rPr>
        <w:t xml:space="preserve">Xiang D, Liu Y, Zhou S, Zhou E, Wang Y. Protective effects of estrogen on cardiovascular disease mediated by oxidative stress. </w:t>
      </w:r>
      <w:r w:rsidRPr="009A2DF0">
        <w:rPr>
          <w:rStyle w:val="Strong"/>
          <w:b w:val="0"/>
          <w:bCs w:val="0"/>
          <w:sz w:val="21"/>
          <w:szCs w:val="21"/>
        </w:rPr>
        <w:t>Oxid Med Cell Longev</w:t>
      </w:r>
      <w:r w:rsidRPr="009A2DF0">
        <w:rPr>
          <w:sz w:val="21"/>
          <w:szCs w:val="21"/>
        </w:rPr>
        <w:t xml:space="preserve"> [Internet]. 2021 Jun 28 [cited 2026 Aug 7];2021:5523516. </w:t>
      </w:r>
    </w:p>
    <w:p w14:paraId="59F262FC" w14:textId="068B5CDA" w:rsidR="004942F4" w:rsidRPr="00A85BE3" w:rsidRDefault="004942F4" w:rsidP="004942F4">
      <w:pPr>
        <w:numPr>
          <w:ilvl w:val="0"/>
          <w:numId w:val="2"/>
        </w:num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Kivimäki M, Steptoe A. Effects of stress on the development and progression of cardiovascular disease. </w:t>
      </w:r>
      <w:r w:rsidRPr="00847E43">
        <w:rPr>
          <w:rFonts w:ascii="Times New Roman" w:hAnsi="Times New Roman" w:cs="Times New Roman"/>
          <w:sz w:val="21"/>
          <w:szCs w:val="21"/>
        </w:rPr>
        <w:t>Nat Rev Cardiol.</w:t>
      </w:r>
      <w:r w:rsidRPr="00A85BE3">
        <w:rPr>
          <w:rFonts w:ascii="Times New Roman" w:hAnsi="Times New Roman" w:cs="Times New Roman"/>
          <w:sz w:val="21"/>
          <w:szCs w:val="21"/>
        </w:rPr>
        <w:t xml:space="preserve"> 2018;15(4):215–229. </w:t>
      </w:r>
    </w:p>
    <w:p w14:paraId="09F077E7" w14:textId="07E5B9CA" w:rsidR="002278E1" w:rsidRPr="00702F39" w:rsidRDefault="00702F39" w:rsidP="00702F39">
      <w:pPr>
        <w:numPr>
          <w:ilvl w:val="0"/>
          <w:numId w:val="2"/>
        </w:num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Angam G, Maring SK, Singh KP, Fimate L. A study of pattern of sudden natural deaths: A JNIMS experience. </w:t>
      </w:r>
      <w:r w:rsidRPr="00CC0117">
        <w:rPr>
          <w:rFonts w:ascii="Times New Roman" w:hAnsi="Times New Roman" w:cs="Times New Roman"/>
          <w:sz w:val="21"/>
          <w:szCs w:val="21"/>
        </w:rPr>
        <w:t>J Indian Acad Forensic Med</w:t>
      </w:r>
      <w:r w:rsidRPr="00A85BE3">
        <w:rPr>
          <w:rFonts w:ascii="Times New Roman" w:hAnsi="Times New Roman" w:cs="Times New Roman"/>
          <w:sz w:val="21"/>
          <w:szCs w:val="21"/>
        </w:rPr>
        <w:t>. 2017;39(2):180–183.</w:t>
      </w:r>
    </w:p>
    <w:p w14:paraId="02080952" w14:textId="2B75CBF2" w:rsidR="00937C1A" w:rsidRDefault="00937C1A" w:rsidP="00937C1A">
      <w:pPr>
        <w:numPr>
          <w:ilvl w:val="0"/>
          <w:numId w:val="2"/>
        </w:num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Guntheti BK, Mohsin ZU. The analysis and pattern of sudden deaths at a teaching hospital, Telangana. </w:t>
      </w:r>
      <w:r w:rsidRPr="00CC0117">
        <w:rPr>
          <w:rFonts w:ascii="Times New Roman" w:hAnsi="Times New Roman" w:cs="Times New Roman"/>
          <w:sz w:val="21"/>
          <w:szCs w:val="21"/>
        </w:rPr>
        <w:t>J Indian Acad Forensic Med.</w:t>
      </w:r>
      <w:r w:rsidRPr="00A85BE3">
        <w:rPr>
          <w:rFonts w:ascii="Times New Roman" w:hAnsi="Times New Roman" w:cs="Times New Roman"/>
          <w:sz w:val="21"/>
          <w:szCs w:val="21"/>
        </w:rPr>
        <w:t xml:space="preserve"> 2023 Jan–Mar;45(1):31–35. </w:t>
      </w:r>
    </w:p>
    <w:p w14:paraId="5A39B05E" w14:textId="77777777" w:rsidR="00702F39" w:rsidRPr="00A85BE3" w:rsidRDefault="00702F39" w:rsidP="00702F39">
      <w:pPr>
        <w:numPr>
          <w:ilvl w:val="0"/>
          <w:numId w:val="2"/>
        </w:num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Ph M, Devi TM, Dolly T. A study of sudden natural deaths in Imphal from 2010–2014. </w:t>
      </w:r>
      <w:r w:rsidRPr="00CC0117">
        <w:rPr>
          <w:rFonts w:ascii="Times New Roman" w:hAnsi="Times New Roman" w:cs="Times New Roman"/>
          <w:sz w:val="21"/>
          <w:szCs w:val="21"/>
        </w:rPr>
        <w:t>J Indian Acad Forensic Med.</w:t>
      </w:r>
      <w:r w:rsidRPr="00A85BE3">
        <w:rPr>
          <w:rFonts w:ascii="Times New Roman" w:hAnsi="Times New Roman" w:cs="Times New Roman"/>
          <w:sz w:val="21"/>
          <w:szCs w:val="21"/>
        </w:rPr>
        <w:t xml:space="preserve"> 2016;38(2):167–170.</w:t>
      </w:r>
    </w:p>
    <w:p w14:paraId="2BFAE036" w14:textId="611DD7F5" w:rsidR="00702F39" w:rsidRPr="009A2DF0" w:rsidRDefault="00702F39" w:rsidP="009A2DF0">
      <w:pPr>
        <w:numPr>
          <w:ilvl w:val="0"/>
          <w:numId w:val="2"/>
        </w:num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Rathva VK, Bhoot RR. Assessment of sudden natural deaths in medico-legal autopsies at tertiary care teaching hospital. </w:t>
      </w:r>
      <w:r w:rsidRPr="00CC0117">
        <w:rPr>
          <w:rFonts w:ascii="Times New Roman" w:hAnsi="Times New Roman" w:cs="Times New Roman"/>
          <w:sz w:val="21"/>
          <w:szCs w:val="21"/>
        </w:rPr>
        <w:t>Indian J Forensic Med Toxicol.</w:t>
      </w:r>
      <w:r w:rsidRPr="00A85BE3">
        <w:rPr>
          <w:rFonts w:ascii="Times New Roman" w:hAnsi="Times New Roman" w:cs="Times New Roman"/>
          <w:sz w:val="21"/>
          <w:szCs w:val="21"/>
        </w:rPr>
        <w:t xml:space="preserve"> 2023;17(4):25–29. </w:t>
      </w:r>
    </w:p>
    <w:p w14:paraId="095A3FCC" w14:textId="77777777" w:rsidR="00937C1A" w:rsidRPr="00A85BE3" w:rsidRDefault="00937C1A" w:rsidP="00937C1A">
      <w:pPr>
        <w:numPr>
          <w:ilvl w:val="0"/>
          <w:numId w:val="2"/>
        </w:numPr>
        <w:spacing w:line="480" w:lineRule="auto"/>
        <w:jc w:val="both"/>
        <w:rPr>
          <w:rFonts w:ascii="Times New Roman" w:hAnsi="Times New Roman" w:cs="Times New Roman"/>
          <w:sz w:val="21"/>
          <w:szCs w:val="21"/>
        </w:rPr>
      </w:pPr>
      <w:r w:rsidRPr="00A85BE3">
        <w:rPr>
          <w:rFonts w:ascii="Times New Roman" w:hAnsi="Times New Roman" w:cs="Times New Roman"/>
          <w:sz w:val="21"/>
          <w:szCs w:val="21"/>
        </w:rPr>
        <w:t xml:space="preserve">Zanjad NP, Nanadkar SD. Study of sudden unexpected deaths in medico-legal autopsies. </w:t>
      </w:r>
      <w:r w:rsidRPr="00CC0117">
        <w:rPr>
          <w:rFonts w:ascii="Times New Roman" w:hAnsi="Times New Roman" w:cs="Times New Roman"/>
          <w:sz w:val="21"/>
          <w:szCs w:val="21"/>
        </w:rPr>
        <w:t>J Indian Acad Forensic Med.</w:t>
      </w:r>
      <w:r w:rsidRPr="00A85BE3">
        <w:rPr>
          <w:rFonts w:ascii="Times New Roman" w:hAnsi="Times New Roman" w:cs="Times New Roman"/>
          <w:sz w:val="21"/>
          <w:szCs w:val="21"/>
        </w:rPr>
        <w:t xml:space="preserve"> 2006;28(1):27–30.</w:t>
      </w:r>
    </w:p>
    <w:p w14:paraId="329CC7C5" w14:textId="77777777" w:rsidR="00937C1A" w:rsidRPr="00A85BE3" w:rsidRDefault="00937C1A" w:rsidP="00937C1A">
      <w:pPr>
        <w:spacing w:line="480" w:lineRule="auto"/>
        <w:jc w:val="both"/>
        <w:rPr>
          <w:rFonts w:ascii="Times New Roman" w:hAnsi="Times New Roman" w:cs="Times New Roman"/>
          <w:sz w:val="21"/>
          <w:szCs w:val="21"/>
        </w:rPr>
      </w:pPr>
    </w:p>
    <w:sectPr w:rsidR="00937C1A" w:rsidRPr="00A85B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5155F"/>
    <w:multiLevelType w:val="multilevel"/>
    <w:tmpl w:val="517EB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B858B6"/>
    <w:multiLevelType w:val="multilevel"/>
    <w:tmpl w:val="175A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7B4E50"/>
    <w:multiLevelType w:val="multilevel"/>
    <w:tmpl w:val="517EB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8391261">
    <w:abstractNumId w:val="1"/>
  </w:num>
  <w:num w:numId="2" w16cid:durableId="1652321329">
    <w:abstractNumId w:val="2"/>
  </w:num>
  <w:num w:numId="3" w16cid:durableId="546723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1A"/>
    <w:rsid w:val="000005E6"/>
    <w:rsid w:val="000041BD"/>
    <w:rsid w:val="00053D7D"/>
    <w:rsid w:val="00083A75"/>
    <w:rsid w:val="000C74E4"/>
    <w:rsid w:val="000E3539"/>
    <w:rsid w:val="002033BA"/>
    <w:rsid w:val="002247C2"/>
    <w:rsid w:val="002278E1"/>
    <w:rsid w:val="00297C4E"/>
    <w:rsid w:val="00392628"/>
    <w:rsid w:val="003A3F9E"/>
    <w:rsid w:val="004942F4"/>
    <w:rsid w:val="005E1ED2"/>
    <w:rsid w:val="00667EFE"/>
    <w:rsid w:val="00697015"/>
    <w:rsid w:val="006C51F3"/>
    <w:rsid w:val="006D12AB"/>
    <w:rsid w:val="00702F39"/>
    <w:rsid w:val="0074248A"/>
    <w:rsid w:val="00772294"/>
    <w:rsid w:val="0077408E"/>
    <w:rsid w:val="007965A9"/>
    <w:rsid w:val="007975FD"/>
    <w:rsid w:val="007A0F04"/>
    <w:rsid w:val="00830C77"/>
    <w:rsid w:val="00847E43"/>
    <w:rsid w:val="008827D1"/>
    <w:rsid w:val="00900621"/>
    <w:rsid w:val="00937C1A"/>
    <w:rsid w:val="009A2DF0"/>
    <w:rsid w:val="00A634DF"/>
    <w:rsid w:val="00A85BE3"/>
    <w:rsid w:val="00AA2424"/>
    <w:rsid w:val="00AE04D1"/>
    <w:rsid w:val="00B20FEC"/>
    <w:rsid w:val="00B54457"/>
    <w:rsid w:val="00BE04FE"/>
    <w:rsid w:val="00BF18C3"/>
    <w:rsid w:val="00C310C7"/>
    <w:rsid w:val="00CC0117"/>
    <w:rsid w:val="00CD451C"/>
    <w:rsid w:val="00D02342"/>
    <w:rsid w:val="00D8141F"/>
    <w:rsid w:val="00DC0036"/>
    <w:rsid w:val="00F60C6D"/>
    <w:rsid w:val="00F950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0A576"/>
  <w15:chartTrackingRefBased/>
  <w15:docId w15:val="{73C309CF-2AE2-46ED-86EA-B54AE5A0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C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C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C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C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C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C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C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C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C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C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C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C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C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C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C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C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C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C1A"/>
    <w:rPr>
      <w:rFonts w:eastAsiaTheme="majorEastAsia" w:cstheme="majorBidi"/>
      <w:color w:val="272727" w:themeColor="text1" w:themeTint="D8"/>
    </w:rPr>
  </w:style>
  <w:style w:type="paragraph" w:styleId="Title">
    <w:name w:val="Title"/>
    <w:basedOn w:val="Normal"/>
    <w:next w:val="Normal"/>
    <w:link w:val="TitleChar"/>
    <w:uiPriority w:val="10"/>
    <w:qFormat/>
    <w:rsid w:val="00937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C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C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C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C1A"/>
    <w:pPr>
      <w:spacing w:before="160"/>
      <w:jc w:val="center"/>
    </w:pPr>
    <w:rPr>
      <w:i/>
      <w:iCs/>
      <w:color w:val="404040" w:themeColor="text1" w:themeTint="BF"/>
    </w:rPr>
  </w:style>
  <w:style w:type="character" w:customStyle="1" w:styleId="QuoteChar">
    <w:name w:val="Quote Char"/>
    <w:basedOn w:val="DefaultParagraphFont"/>
    <w:link w:val="Quote"/>
    <w:uiPriority w:val="29"/>
    <w:rsid w:val="00937C1A"/>
    <w:rPr>
      <w:i/>
      <w:iCs/>
      <w:color w:val="404040" w:themeColor="text1" w:themeTint="BF"/>
    </w:rPr>
  </w:style>
  <w:style w:type="paragraph" w:styleId="ListParagraph">
    <w:name w:val="List Paragraph"/>
    <w:basedOn w:val="Normal"/>
    <w:uiPriority w:val="34"/>
    <w:qFormat/>
    <w:rsid w:val="00937C1A"/>
    <w:pPr>
      <w:ind w:left="720"/>
      <w:contextualSpacing/>
    </w:pPr>
  </w:style>
  <w:style w:type="character" w:styleId="IntenseEmphasis">
    <w:name w:val="Intense Emphasis"/>
    <w:basedOn w:val="DefaultParagraphFont"/>
    <w:uiPriority w:val="21"/>
    <w:qFormat/>
    <w:rsid w:val="00937C1A"/>
    <w:rPr>
      <w:i/>
      <w:iCs/>
      <w:color w:val="2F5496" w:themeColor="accent1" w:themeShade="BF"/>
    </w:rPr>
  </w:style>
  <w:style w:type="paragraph" w:styleId="IntenseQuote">
    <w:name w:val="Intense Quote"/>
    <w:basedOn w:val="Normal"/>
    <w:next w:val="Normal"/>
    <w:link w:val="IntenseQuoteChar"/>
    <w:uiPriority w:val="30"/>
    <w:qFormat/>
    <w:rsid w:val="00937C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C1A"/>
    <w:rPr>
      <w:i/>
      <w:iCs/>
      <w:color w:val="2F5496" w:themeColor="accent1" w:themeShade="BF"/>
    </w:rPr>
  </w:style>
  <w:style w:type="character" w:styleId="IntenseReference">
    <w:name w:val="Intense Reference"/>
    <w:basedOn w:val="DefaultParagraphFont"/>
    <w:uiPriority w:val="32"/>
    <w:qFormat/>
    <w:rsid w:val="00937C1A"/>
    <w:rPr>
      <w:b/>
      <w:bCs/>
      <w:smallCaps/>
      <w:color w:val="2F5496" w:themeColor="accent1" w:themeShade="BF"/>
      <w:spacing w:val="5"/>
    </w:rPr>
  </w:style>
  <w:style w:type="character" w:styleId="Hyperlink">
    <w:name w:val="Hyperlink"/>
    <w:basedOn w:val="DefaultParagraphFont"/>
    <w:uiPriority w:val="99"/>
    <w:unhideWhenUsed/>
    <w:rsid w:val="00937C1A"/>
    <w:rPr>
      <w:color w:val="0563C1" w:themeColor="hyperlink"/>
      <w:u w:val="single"/>
    </w:rPr>
  </w:style>
  <w:style w:type="character" w:styleId="UnresolvedMention">
    <w:name w:val="Unresolved Mention"/>
    <w:basedOn w:val="DefaultParagraphFont"/>
    <w:uiPriority w:val="99"/>
    <w:semiHidden/>
    <w:unhideWhenUsed/>
    <w:rsid w:val="00937C1A"/>
    <w:rPr>
      <w:color w:val="605E5C"/>
      <w:shd w:val="clear" w:color="auto" w:fill="E1DFDD"/>
    </w:rPr>
  </w:style>
  <w:style w:type="character" w:styleId="LineNumber">
    <w:name w:val="line number"/>
    <w:basedOn w:val="DefaultParagraphFont"/>
    <w:uiPriority w:val="99"/>
    <w:semiHidden/>
    <w:unhideWhenUsed/>
    <w:rsid w:val="00BF18C3"/>
  </w:style>
  <w:style w:type="paragraph" w:customStyle="1" w:styleId="my-2">
    <w:name w:val="my-2"/>
    <w:basedOn w:val="Normal"/>
    <w:rsid w:val="004942F4"/>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4942F4"/>
    <w:rPr>
      <w:b/>
      <w:bCs/>
    </w:rPr>
  </w:style>
  <w:style w:type="character" w:customStyle="1" w:styleId="citation">
    <w:name w:val="citation"/>
    <w:basedOn w:val="DefaultParagraphFont"/>
    <w:rsid w:val="004942F4"/>
  </w:style>
  <w:style w:type="character" w:customStyle="1" w:styleId="inline-block">
    <w:name w:val="inline-block"/>
    <w:basedOn w:val="DefaultParagraphFont"/>
    <w:rsid w:val="00494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1619</TotalTime>
  <Pages>7</Pages>
  <Words>2253</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Laish</dc:creator>
  <cp:keywords/>
  <dc:description/>
  <cp:lastModifiedBy>V Laish</cp:lastModifiedBy>
  <cp:revision>12</cp:revision>
  <dcterms:created xsi:type="dcterms:W3CDTF">2026-07-29T15:26:00Z</dcterms:created>
  <dcterms:modified xsi:type="dcterms:W3CDTF">2026-08-31T06:11:00Z</dcterms:modified>
</cp:coreProperties>
</file>